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393" w14:textId="77777777" w:rsidR="0072065B" w:rsidRDefault="0072065B" w:rsidP="006A167A">
      <w:pPr>
        <w:jc w:val="both"/>
        <w:rPr>
          <w:b/>
          <w:bCs/>
        </w:rPr>
      </w:pPr>
    </w:p>
    <w:p w14:paraId="5C606605" w14:textId="77777777" w:rsidR="0072065B" w:rsidRDefault="0072065B" w:rsidP="006A167A">
      <w:pPr>
        <w:jc w:val="both"/>
        <w:rPr>
          <w:b/>
          <w:bCs/>
        </w:rPr>
      </w:pPr>
    </w:p>
    <w:p w14:paraId="53014DC0" w14:textId="1320621B" w:rsidR="006A167A" w:rsidRPr="006A167A" w:rsidRDefault="006A167A" w:rsidP="006A167A">
      <w:pPr>
        <w:jc w:val="both"/>
      </w:pPr>
      <w:r w:rsidRPr="006A167A">
        <w:rPr>
          <w:b/>
          <w:bCs/>
        </w:rPr>
        <w:t>Event Protect – Ochrona dla organizatorów wydarzeń biznesowych: Jak zadbać o finanse przy organizacji konferencji, wyjazdów integracyjnych i targów?</w:t>
      </w:r>
    </w:p>
    <w:p w14:paraId="6148C31E" w14:textId="130FACAB" w:rsidR="00B067AC" w:rsidRDefault="00F25C06" w:rsidP="006A167A">
      <w:pPr>
        <w:jc w:val="both"/>
      </w:pPr>
      <w:r>
        <w:t>Organizacja wydarzeń biznesowych</w:t>
      </w:r>
      <w:r w:rsidR="007C04EE">
        <w:t xml:space="preserve"> takich</w:t>
      </w:r>
      <w:r>
        <w:t xml:space="preserve"> jak konferencje, seminaria, warsztaty, wyjazdy integracyjne, targi, pokazy produktów, szkolenia czy spotkania networkingowe, wiąże się z istotnymi </w:t>
      </w:r>
      <w:r w:rsidR="007C04EE">
        <w:t>nakładami, również finansowymi</w:t>
      </w:r>
      <w:r>
        <w:t xml:space="preserve">. Koszty wynajmu sal, promocji, honorariów dla prelegentów, transportu oraz zakwaterowania dla uczestników to tylko niektóre z wydatków, które mogą się pojawić. Niespodziewane sytuacje, które mogą prowadzić do odwołania, przełożenia lub przerwania wydarzenia, mogą skutkować stratami finansowymi. W takich przypadkach ubezpieczenie Event Protect oferuje organizatorom ochronę przed ryzykiem związanym z organizacją </w:t>
      </w:r>
      <w:r w:rsidR="007C04EE">
        <w:t xml:space="preserve">różnorodnych </w:t>
      </w:r>
      <w:r>
        <w:t xml:space="preserve">wydarzeń. </w:t>
      </w:r>
    </w:p>
    <w:p w14:paraId="3EC5A77B" w14:textId="1D4AFFEC" w:rsidR="006A167A" w:rsidRPr="006A167A" w:rsidRDefault="006A167A" w:rsidP="006A167A">
      <w:pPr>
        <w:jc w:val="both"/>
        <w:rPr>
          <w:b/>
          <w:bCs/>
        </w:rPr>
      </w:pPr>
      <w:r w:rsidRPr="006A167A">
        <w:rPr>
          <w:b/>
          <w:bCs/>
        </w:rPr>
        <w:t>Co obejmuje podstawowy zakres ochrony w Event Protect?</w:t>
      </w:r>
    </w:p>
    <w:p w14:paraId="3FB6EEE1" w14:textId="7B80E05B" w:rsidR="006A167A" w:rsidRPr="006A167A" w:rsidRDefault="006A167A" w:rsidP="006A167A">
      <w:pPr>
        <w:jc w:val="both"/>
      </w:pPr>
      <w:r w:rsidRPr="006A167A">
        <w:t>Ubezpieczenie Event Protect oferowane przez Colonnade chroni organizatorów przed stratami finansowymi, które mogą wyniknąć z odwołania lub nagłej, nieprzewidzianej zmiany warunków organizowanego wydarzenia. Co ważne, ubezpieczenie obejmuje nie tylko koszty organizacyjne, ale także utracony zysk, który firma planowała uzyskać z realizacji wydarzenia. Dzięki temu, w razie niespodziewanych okoliczności, organizatorzy mogą mieć pewność, że nie poniosą strat finansowych.</w:t>
      </w:r>
    </w:p>
    <w:p w14:paraId="67F6F55E" w14:textId="76DA54CE" w:rsidR="006A167A" w:rsidRPr="006A167A" w:rsidRDefault="006A167A" w:rsidP="006A167A">
      <w:pPr>
        <w:jc w:val="both"/>
        <w:rPr>
          <w:b/>
          <w:bCs/>
        </w:rPr>
      </w:pPr>
      <w:r w:rsidRPr="006A167A">
        <w:rPr>
          <w:b/>
          <w:bCs/>
        </w:rPr>
        <w:t xml:space="preserve">Jak </w:t>
      </w:r>
      <w:r w:rsidR="00DC562D">
        <w:rPr>
          <w:b/>
          <w:bCs/>
        </w:rPr>
        <w:t>firma</w:t>
      </w:r>
      <w:r w:rsidRPr="006A167A">
        <w:rPr>
          <w:b/>
          <w:bCs/>
        </w:rPr>
        <w:t xml:space="preserve"> może chronić swoje finanse organizując wydarzenia biznesowe?</w:t>
      </w:r>
    </w:p>
    <w:p w14:paraId="083009DE" w14:textId="7D233A2B" w:rsidR="006A167A" w:rsidRPr="006A167A" w:rsidRDefault="006A167A" w:rsidP="006A167A">
      <w:pPr>
        <w:jc w:val="both"/>
      </w:pPr>
      <w:r>
        <w:t xml:space="preserve">Ubezpieczenie Event Protect stanowi formę zabezpieczenia dla organizatora, który ponosi odpowiedzialność za poniesione wydatki oraz oczekiwane przychody. Ochrona obejmuje wydarzenia takie jak konferencje, seminaria, wyjazdy integracyjne czy targi i wiele innych. </w:t>
      </w:r>
      <w:r w:rsidR="3AD3791D">
        <w:t xml:space="preserve"> Warto zastanowić się, czy istotnym dla organizatora może być ryzyko finansowe związane z odwołaniem wydarzenia z przyczyn nie leżących po jego stronie – a jeśli tak, </w:t>
      </w:r>
      <w:r w:rsidR="75CB33C3">
        <w:t>zastanowić się nad ubezpieczeniem takiego ryzyka.</w:t>
      </w:r>
    </w:p>
    <w:p w14:paraId="35F740A6" w14:textId="77777777" w:rsidR="006A167A" w:rsidRPr="006A167A" w:rsidRDefault="006A167A" w:rsidP="006A167A">
      <w:pPr>
        <w:numPr>
          <w:ilvl w:val="0"/>
          <w:numId w:val="1"/>
        </w:numPr>
        <w:jc w:val="both"/>
      </w:pPr>
      <w:r w:rsidRPr="006A167A">
        <w:rPr>
          <w:b/>
          <w:bCs/>
        </w:rPr>
        <w:t>Organizacja konferencji lub seminarium</w:t>
      </w:r>
    </w:p>
    <w:p w14:paraId="6977E037" w14:textId="6F142C53" w:rsidR="006A167A" w:rsidRPr="006A167A" w:rsidRDefault="006A167A" w:rsidP="006A167A">
      <w:pPr>
        <w:jc w:val="both"/>
      </w:pPr>
      <w:r>
        <w:t>Konferencje i seminaria to wydarzenia, które wiążą się z wysokimi kosztami – wynajem sali, honoraria prelegentów, materiały edukacyjne</w:t>
      </w:r>
      <w:r w:rsidR="00CC69F6">
        <w:t xml:space="preserve"> czy </w:t>
      </w:r>
      <w:r>
        <w:t>catering. Ubezpieczenie Event Protect zapewnia ochronę na wypadek, gdyby wydarzenie musiało zostać odwołane z powodu niespodziewanych okoliczności, np. choroby prelegenta, niemożności dotarcia uczestników z powodu złych warunków pogodowych lub sytuacji kryzysowych. Jeśli wydarzenie zostanie przełożone lub przerwane, organizator może odzyskać część poniesionych kosztów oraz utracony zysk.</w:t>
      </w:r>
    </w:p>
    <w:p w14:paraId="36E19BDC" w14:textId="77777777" w:rsidR="006A167A" w:rsidRPr="006A167A" w:rsidRDefault="006A167A" w:rsidP="006A167A">
      <w:pPr>
        <w:numPr>
          <w:ilvl w:val="0"/>
          <w:numId w:val="2"/>
        </w:numPr>
        <w:jc w:val="both"/>
      </w:pPr>
      <w:r w:rsidRPr="006A167A">
        <w:rPr>
          <w:b/>
          <w:bCs/>
        </w:rPr>
        <w:t>Wyjazdy integracyjne dla pracowników</w:t>
      </w:r>
    </w:p>
    <w:p w14:paraId="082526C2" w14:textId="66EA2B46" w:rsidR="006A167A" w:rsidRPr="006A167A" w:rsidRDefault="006A167A" w:rsidP="006A167A">
      <w:pPr>
        <w:jc w:val="both"/>
      </w:pPr>
      <w:r>
        <w:t xml:space="preserve">Wydarzenia </w:t>
      </w:r>
      <w:r w:rsidR="36A87844">
        <w:t xml:space="preserve">takie jak wyjazdy/imprezy integracyjne </w:t>
      </w:r>
      <w:r>
        <w:t>wymagają inwestycji w transport, zakwaterowanie, organizację atrakcji czy catering. Zdarzenia losowe, takie jak nagle niedostępne miejsca wydarzenia czy problemy z transportem, mogą zniweczyć planowany wyjazd. Dzięki ubezpieczeniu</w:t>
      </w:r>
      <w:r w:rsidR="00CC69F6">
        <w:t xml:space="preserve"> Event Protect</w:t>
      </w:r>
      <w:r>
        <w:t xml:space="preserve"> pracodawca zyskuje pewność, że koszty związane z odwołaniem lub </w:t>
      </w:r>
      <w:r w:rsidR="00DC562D">
        <w:t xml:space="preserve">niespodziewaną </w:t>
      </w:r>
      <w:r>
        <w:t xml:space="preserve">zmianą planów wyjazdu </w:t>
      </w:r>
      <w:r w:rsidR="00CC69F6">
        <w:t xml:space="preserve">zostaną </w:t>
      </w:r>
      <w:r>
        <w:t>pokryte, a firma nie poniesie strat.</w:t>
      </w:r>
    </w:p>
    <w:p w14:paraId="144CA02B" w14:textId="77777777" w:rsidR="006A167A" w:rsidRPr="006A167A" w:rsidRDefault="006A167A" w:rsidP="006A167A">
      <w:pPr>
        <w:numPr>
          <w:ilvl w:val="0"/>
          <w:numId w:val="3"/>
        </w:numPr>
        <w:jc w:val="both"/>
      </w:pPr>
      <w:r w:rsidRPr="006A167A">
        <w:rPr>
          <w:b/>
          <w:bCs/>
        </w:rPr>
        <w:t>Pokazy produktów i targi branżowe</w:t>
      </w:r>
    </w:p>
    <w:p w14:paraId="72948774" w14:textId="77777777" w:rsidR="00A45FB6" w:rsidRDefault="00A45FB6" w:rsidP="006A167A">
      <w:pPr>
        <w:jc w:val="both"/>
      </w:pPr>
    </w:p>
    <w:p w14:paraId="5AA9543B" w14:textId="34F9EA0B" w:rsidR="006A167A" w:rsidRPr="006A167A" w:rsidRDefault="006A167A" w:rsidP="006A167A">
      <w:pPr>
        <w:jc w:val="both"/>
      </w:pPr>
      <w:r>
        <w:t xml:space="preserve">Targi i pokazy produktów to wydarzenia o dużej skali, w których firma inwestuje nie tylko w wynajem przestrzeni wystawienniczej, ale także w materiały promujące produkty, transport czy stoiska. Jeśli wydarzenie nie dojdzie do skutku lub zostanie przerwane, straty po stronie organizatora mogą być </w:t>
      </w:r>
      <w:r w:rsidR="00CC69F6">
        <w:t>wysokie</w:t>
      </w:r>
      <w:r>
        <w:t xml:space="preserve">. Event Protect chroni organizatorów przed konsekwencjami odwołania wydarzenia, np. z powodu zmieniającej się sytuacji politycznej, </w:t>
      </w:r>
      <w:r w:rsidR="00DC562D">
        <w:t>strajków, powodzi</w:t>
      </w:r>
      <w:r>
        <w:t xml:space="preserve"> czy </w:t>
      </w:r>
      <w:r w:rsidR="00DC562D">
        <w:t>zajęcia lokalu przez władze</w:t>
      </w:r>
      <w:r w:rsidR="00494CCD">
        <w:t xml:space="preserve">, </w:t>
      </w:r>
      <w:r w:rsidR="1B7C8D44">
        <w:t xml:space="preserve">choćby </w:t>
      </w:r>
      <w:r w:rsidR="447E67B6">
        <w:t xml:space="preserve">wynikającego z </w:t>
      </w:r>
      <w:r w:rsidR="1B7C8D44">
        <w:t>konieczności zwrotu pieniędzy za niewykorzystane przez uczestników bilety</w:t>
      </w:r>
      <w:r w:rsidR="00494CCD">
        <w:t>.</w:t>
      </w:r>
    </w:p>
    <w:p w14:paraId="2D1147A2" w14:textId="77777777" w:rsidR="006A167A" w:rsidRPr="006A167A" w:rsidRDefault="006A167A" w:rsidP="006A167A">
      <w:pPr>
        <w:jc w:val="both"/>
        <w:rPr>
          <w:b/>
          <w:bCs/>
        </w:rPr>
      </w:pPr>
      <w:r w:rsidRPr="006A167A">
        <w:rPr>
          <w:b/>
          <w:bCs/>
        </w:rPr>
        <w:t>Kiedy ubezpieczenie zadziała? Przykłady zastosowania podstawowego zakresu ochrony:</w:t>
      </w:r>
    </w:p>
    <w:p w14:paraId="0AF5D06C" w14:textId="344ADB82" w:rsidR="006A167A" w:rsidRPr="006A167A" w:rsidRDefault="006A167A" w:rsidP="006A167A">
      <w:pPr>
        <w:numPr>
          <w:ilvl w:val="0"/>
          <w:numId w:val="4"/>
        </w:numPr>
        <w:jc w:val="both"/>
      </w:pPr>
      <w:r w:rsidRPr="2AFDAB9A">
        <w:rPr>
          <w:b/>
          <w:bCs/>
        </w:rPr>
        <w:t>Odwołanie konferencji z powodu choroby kluczowego prelegenta</w:t>
      </w:r>
      <w:r>
        <w:t xml:space="preserve"> – Organizator konferencji ponosi koszty wynajmu sali, honorariów dla prelegentów oraz innych wydatków. Jeśli kluczowy prelegent nie może wystąpić z powodu nagłej choroby, Event Protect pokrywa część kosztów oraz utracony zysk z odwołania wydarzenia.</w:t>
      </w:r>
    </w:p>
    <w:p w14:paraId="1349660D" w14:textId="4FAA58DF" w:rsidR="006A167A" w:rsidRPr="006A167A" w:rsidRDefault="006A167A" w:rsidP="006A167A">
      <w:pPr>
        <w:numPr>
          <w:ilvl w:val="0"/>
          <w:numId w:val="4"/>
        </w:numPr>
        <w:jc w:val="both"/>
      </w:pPr>
      <w:r w:rsidRPr="2AFDAB9A">
        <w:rPr>
          <w:b/>
          <w:bCs/>
        </w:rPr>
        <w:t>Przełożenie wyjazdu integracyjnego z powodu niekorzystnych warunków pogodowych</w:t>
      </w:r>
      <w:r>
        <w:t xml:space="preserve"> – Wyjazd integracyjny dla pracowników zostaje przełożony </w:t>
      </w:r>
      <w:r w:rsidR="00CC69F6">
        <w:t xml:space="preserve">np. </w:t>
      </w:r>
      <w:r>
        <w:t xml:space="preserve">z powodu nieoczekiwanych opadów śniegu, które uniemożliwiają dotarcie do miejsca </w:t>
      </w:r>
      <w:r w:rsidR="00CC69F6">
        <w:t>docelowego</w:t>
      </w:r>
      <w:r>
        <w:t>. Ubezpieczenie pokrywa koszty związane z przełożeniem wydarzenia, w tym dodatkowe wydatki za transport i zakwaterowanie.</w:t>
      </w:r>
    </w:p>
    <w:p w14:paraId="01DCB7A6" w14:textId="77777777" w:rsidR="006A167A" w:rsidRPr="006A167A" w:rsidRDefault="006A167A" w:rsidP="006A167A">
      <w:pPr>
        <w:numPr>
          <w:ilvl w:val="0"/>
          <w:numId w:val="4"/>
        </w:numPr>
        <w:jc w:val="both"/>
      </w:pPr>
      <w:r w:rsidRPr="006A167A">
        <w:rPr>
          <w:b/>
          <w:bCs/>
        </w:rPr>
        <w:t>Przerwanie pokazu produktów z powodu zamachów terrorystycznych</w:t>
      </w:r>
      <w:r w:rsidRPr="006A167A">
        <w:t xml:space="preserve"> – Pokaz nowych produktów organizowany w dużym mieście zostaje przerwany z powodu zamachu terrorystycznego w pobliżu. Ubezpieczenie Event Protect pokrywa koszty związane z przerwaniem wydarzenia oraz ewentualny utracony zysk.</w:t>
      </w:r>
    </w:p>
    <w:p w14:paraId="40FD6290" w14:textId="7FB7BEAA" w:rsidR="00B27372" w:rsidRDefault="00B27372" w:rsidP="006A167A">
      <w:pPr>
        <w:jc w:val="both"/>
      </w:pPr>
      <w:r>
        <w:t xml:space="preserve">To tylko niektóre z przykładów zastosowania ubezpieczenia </w:t>
      </w:r>
      <w:r w:rsidR="006A167A">
        <w:t>Event Protect</w:t>
      </w:r>
      <w:r w:rsidR="00CC69F6">
        <w:t xml:space="preserve"> </w:t>
      </w:r>
      <w:r w:rsidR="006A167A">
        <w:t>dla firm organizujących wydarzenia biznesowe wiążą</w:t>
      </w:r>
      <w:r w:rsidR="00CC69F6">
        <w:t>c</w:t>
      </w:r>
      <w:r w:rsidR="60197968">
        <w:t>ymi</w:t>
      </w:r>
      <w:r w:rsidR="006A167A">
        <w:t xml:space="preserve"> się z </w:t>
      </w:r>
      <w:r w:rsidR="00CC69F6">
        <w:t xml:space="preserve">wysokimi </w:t>
      </w:r>
      <w:r w:rsidR="650D82EB">
        <w:t xml:space="preserve">nakładami </w:t>
      </w:r>
      <w:r w:rsidR="006A167A">
        <w:t>finansowymi. Dzięki temu ubezpieczeniu organizatorzy konferencji, wyjazdów integracyjnych, targów czy pokazów produktów mogą zminimalizować ryzyko finansowe związane z odwołaniem, przełożeniem czy przerwaniem wydarzenia. W ramach podstawowego zakresu ochrony organizatorzy zyskują pewność, że ich wydatki i potencjalne zyski będą zabezpieczone, a w razie nieprzewidzianych okoliczności – pokryte przez ubezpieczenie.</w:t>
      </w:r>
      <w:r>
        <w:t xml:space="preserve"> </w:t>
      </w:r>
    </w:p>
    <w:p w14:paraId="480183F7" w14:textId="3598BD49" w:rsidR="00422210" w:rsidRDefault="00FB07C0" w:rsidP="006A167A">
      <w:pPr>
        <w:jc w:val="both"/>
      </w:pPr>
      <w:r w:rsidRPr="00FB07C0">
        <w:t>Organizacja wydarzeń biznesowych wiąże się z wieloma wyzwaniami i potencjalnymi ryzykami, które mogą prowadzić do nieprzewidzianych strat finansowych. Dlatego warto rozważyć zwiększenie budżetu o około 2-5% na zakup ubezpieczenia Event Protect. Taka inwestycja, choć relatywnie niewielka w kontekście całkowitych kosztów, może zapewnić spokój i ochronę finansową, skutecznie minimalizując ryzyko związane z nieoczekiwanymi zdarzeniami. Dzięki temu organizatorzy mogą skupić się na realizacji swoich celów, mając pewność, że są odpowiednio zabezpieczeni.</w:t>
      </w:r>
    </w:p>
    <w:p w14:paraId="4B9481C6" w14:textId="77777777" w:rsidR="00A45FB6" w:rsidRDefault="00A45FB6" w:rsidP="006A167A">
      <w:pPr>
        <w:jc w:val="both"/>
      </w:pPr>
    </w:p>
    <w:p w14:paraId="00F4EAFA" w14:textId="41C06135" w:rsidR="00A45FB6" w:rsidRDefault="00A45FB6" w:rsidP="006A167A">
      <w:pPr>
        <w:jc w:val="both"/>
      </w:pPr>
      <w:r>
        <w:t xml:space="preserve">Katarzyna Boguszewska </w:t>
      </w:r>
    </w:p>
    <w:p w14:paraId="0882E910" w14:textId="77777777" w:rsidR="00A45FB6" w:rsidRDefault="00A45FB6" w:rsidP="00A45FB6">
      <w:pPr>
        <w:jc w:val="both"/>
      </w:pPr>
      <w:r w:rsidRPr="00A45FB6">
        <w:t xml:space="preserve">specjalista ds. ubezpieczeń </w:t>
      </w:r>
      <w:r>
        <w:t>OC</w:t>
      </w:r>
    </w:p>
    <w:p w14:paraId="03195D06" w14:textId="2133B885" w:rsidR="00A45FB6" w:rsidRPr="00A45FB6" w:rsidRDefault="00A45FB6" w:rsidP="00A45FB6">
      <w:pPr>
        <w:jc w:val="both"/>
      </w:pPr>
      <w:r w:rsidRPr="00A45FB6">
        <w:t>radca prawny</w:t>
      </w:r>
    </w:p>
    <w:p w14:paraId="0E43F413" w14:textId="77777777" w:rsidR="00A45FB6" w:rsidRPr="0072065B" w:rsidRDefault="00A45FB6" w:rsidP="006A167A">
      <w:pPr>
        <w:jc w:val="both"/>
      </w:pPr>
    </w:p>
    <w:sectPr w:rsidR="00A45FB6" w:rsidRPr="00720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92F4" w14:textId="77777777" w:rsidR="00680C12" w:rsidRDefault="00680C12" w:rsidP="006B59CF">
      <w:pPr>
        <w:spacing w:after="0" w:line="240" w:lineRule="auto"/>
      </w:pPr>
      <w:r>
        <w:separator/>
      </w:r>
    </w:p>
  </w:endnote>
  <w:endnote w:type="continuationSeparator" w:id="0">
    <w:p w14:paraId="5BCEA3C4" w14:textId="77777777" w:rsidR="00680C12" w:rsidRDefault="00680C12" w:rsidP="006B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E780" w14:textId="1CEEB04A" w:rsidR="006B59CF" w:rsidRDefault="006B59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EDD20A" wp14:editId="370BEC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57505"/>
              <wp:effectExtent l="0" t="0" r="10795" b="0"/>
              <wp:wrapNone/>
              <wp:docPr id="19489702" name="Text Box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0BF79" w14:textId="4B6E5069" w:rsidR="006B59CF" w:rsidRPr="006B59CF" w:rsidRDefault="006B59CF" w:rsidP="006B59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59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DD2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lonnade Confidential" style="position:absolute;margin-left:0;margin-top:0;width:95.1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" filled="f" stroked="f">
              <v:textbox style="mso-fit-shape-to-text:t" inset="0,0,0,15pt">
                <w:txbxContent>
                  <w:p w14:paraId="4770BF79" w14:textId="4B6E5069" w:rsidR="006B59CF" w:rsidRPr="006B59CF" w:rsidRDefault="006B59CF" w:rsidP="006B59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59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243C" w14:textId="61B02989" w:rsidR="006B59CF" w:rsidRDefault="006B59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366302" wp14:editId="5F911A26">
              <wp:simplePos x="898071" y="1007472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57505"/>
              <wp:effectExtent l="0" t="0" r="10795" b="0"/>
              <wp:wrapNone/>
              <wp:docPr id="1713866831" name="Text Box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5397F" w14:textId="52AB90E8" w:rsidR="006B59CF" w:rsidRPr="006B59CF" w:rsidRDefault="006B59CF" w:rsidP="006B59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59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663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lonnade Confidential" style="position:absolute;margin-left:0;margin-top:0;width:95.1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" filled="f" stroked="f">
              <v:textbox style="mso-fit-shape-to-text:t" inset="0,0,0,15pt">
                <w:txbxContent>
                  <w:p w14:paraId="58F5397F" w14:textId="52AB90E8" w:rsidR="006B59CF" w:rsidRPr="006B59CF" w:rsidRDefault="006B59CF" w:rsidP="006B59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59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2AAA" w14:textId="31B7EB8A" w:rsidR="006B59CF" w:rsidRDefault="006B59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D3D642" wp14:editId="326F3F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57505"/>
              <wp:effectExtent l="0" t="0" r="10795" b="0"/>
              <wp:wrapNone/>
              <wp:docPr id="1111160080" name="Text Box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7491D" w14:textId="120CDDBE" w:rsidR="006B59CF" w:rsidRPr="006B59CF" w:rsidRDefault="006B59CF" w:rsidP="006B59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59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3D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lonnade Confidential" style="position:absolute;margin-left:0;margin-top:0;width:95.1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" filled="f" stroked="f">
              <v:textbox style="mso-fit-shape-to-text:t" inset="0,0,0,15pt">
                <w:txbxContent>
                  <w:p w14:paraId="6587491D" w14:textId="120CDDBE" w:rsidR="006B59CF" w:rsidRPr="006B59CF" w:rsidRDefault="006B59CF" w:rsidP="006B59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59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6EF06" w14:textId="77777777" w:rsidR="00680C12" w:rsidRDefault="00680C12" w:rsidP="006B59CF">
      <w:pPr>
        <w:spacing w:after="0" w:line="240" w:lineRule="auto"/>
      </w:pPr>
      <w:r>
        <w:separator/>
      </w:r>
    </w:p>
  </w:footnote>
  <w:footnote w:type="continuationSeparator" w:id="0">
    <w:p w14:paraId="70E0C293" w14:textId="77777777" w:rsidR="00680C12" w:rsidRDefault="00680C12" w:rsidP="006B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DD9A" w14:textId="77777777" w:rsidR="0072065B" w:rsidRDefault="00720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A3B1" w14:textId="06911D94" w:rsidR="0072065B" w:rsidRDefault="0072065B">
    <w:pPr>
      <w:pStyle w:val="Header"/>
    </w:pPr>
    <w:r>
      <w:rPr>
        <w:noProof/>
      </w:rPr>
      <w:drawing>
        <wp:inline distT="0" distB="0" distL="0" distR="0" wp14:anchorId="08286886" wp14:editId="089DBECD">
          <wp:extent cx="1857375" cy="590528"/>
          <wp:effectExtent l="0" t="0" r="0" b="635"/>
          <wp:docPr id="730026638" name="Picture 4" descr="A black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026638" name="Picture 4" descr="A black and re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89" cy="594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76E5" w14:textId="77777777" w:rsidR="0072065B" w:rsidRDefault="00720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DFA"/>
    <w:multiLevelType w:val="multilevel"/>
    <w:tmpl w:val="874E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B16EC"/>
    <w:multiLevelType w:val="multilevel"/>
    <w:tmpl w:val="07D49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B21A8"/>
    <w:multiLevelType w:val="multilevel"/>
    <w:tmpl w:val="E7B4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87E25"/>
    <w:multiLevelType w:val="multilevel"/>
    <w:tmpl w:val="4D529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9338636">
    <w:abstractNumId w:val="2"/>
  </w:num>
  <w:num w:numId="2" w16cid:durableId="935019338">
    <w:abstractNumId w:val="1"/>
  </w:num>
  <w:num w:numId="3" w16cid:durableId="1860314664">
    <w:abstractNumId w:val="3"/>
  </w:num>
  <w:num w:numId="4" w16cid:durableId="69449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7A"/>
    <w:rsid w:val="0006576C"/>
    <w:rsid w:val="00076F2B"/>
    <w:rsid w:val="000B3560"/>
    <w:rsid w:val="001C135E"/>
    <w:rsid w:val="001C6E29"/>
    <w:rsid w:val="00422210"/>
    <w:rsid w:val="00461807"/>
    <w:rsid w:val="00473FC1"/>
    <w:rsid w:val="00494CCD"/>
    <w:rsid w:val="004E0384"/>
    <w:rsid w:val="00680C12"/>
    <w:rsid w:val="006A167A"/>
    <w:rsid w:val="006B59CF"/>
    <w:rsid w:val="0072065B"/>
    <w:rsid w:val="00792DC3"/>
    <w:rsid w:val="007C04EE"/>
    <w:rsid w:val="007E3B61"/>
    <w:rsid w:val="00843406"/>
    <w:rsid w:val="00924E34"/>
    <w:rsid w:val="009742CA"/>
    <w:rsid w:val="00992103"/>
    <w:rsid w:val="00A31FF1"/>
    <w:rsid w:val="00A45FB6"/>
    <w:rsid w:val="00A474B9"/>
    <w:rsid w:val="00A812D3"/>
    <w:rsid w:val="00AA287E"/>
    <w:rsid w:val="00AB6B29"/>
    <w:rsid w:val="00B067AC"/>
    <w:rsid w:val="00B27372"/>
    <w:rsid w:val="00C11661"/>
    <w:rsid w:val="00C556C7"/>
    <w:rsid w:val="00CA4E75"/>
    <w:rsid w:val="00CC69F6"/>
    <w:rsid w:val="00D55592"/>
    <w:rsid w:val="00DC562D"/>
    <w:rsid w:val="00DD4285"/>
    <w:rsid w:val="00DE1C0E"/>
    <w:rsid w:val="00E81062"/>
    <w:rsid w:val="00EA0500"/>
    <w:rsid w:val="00F25C06"/>
    <w:rsid w:val="00F66127"/>
    <w:rsid w:val="00F93813"/>
    <w:rsid w:val="00FB07C0"/>
    <w:rsid w:val="00FC3FA5"/>
    <w:rsid w:val="08C0D268"/>
    <w:rsid w:val="0B31E451"/>
    <w:rsid w:val="1A52DB39"/>
    <w:rsid w:val="1B7C8D44"/>
    <w:rsid w:val="2AFDAB9A"/>
    <w:rsid w:val="3485D19A"/>
    <w:rsid w:val="36A87844"/>
    <w:rsid w:val="39211E54"/>
    <w:rsid w:val="3AD3791D"/>
    <w:rsid w:val="447E67B6"/>
    <w:rsid w:val="4E85BAF7"/>
    <w:rsid w:val="53030898"/>
    <w:rsid w:val="60197968"/>
    <w:rsid w:val="650D82EB"/>
    <w:rsid w:val="69510F8B"/>
    <w:rsid w:val="6997F877"/>
    <w:rsid w:val="6E485A32"/>
    <w:rsid w:val="75C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52BBD"/>
  <w15:docId w15:val="{FF34B988-76EC-49DD-9825-5FFB60E6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67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742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4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B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CF"/>
  </w:style>
  <w:style w:type="paragraph" w:styleId="Header">
    <w:name w:val="header"/>
    <w:basedOn w:val="Normal"/>
    <w:link w:val="HeaderChar"/>
    <w:uiPriority w:val="99"/>
    <w:unhideWhenUsed/>
    <w:rsid w:val="0072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Boguszewska</dc:creator>
  <cp:keywords/>
  <dc:description/>
  <cp:lastModifiedBy>Marta Makarska</cp:lastModifiedBy>
  <cp:revision>5</cp:revision>
  <dcterms:created xsi:type="dcterms:W3CDTF">2025-04-24T10:42:00Z</dcterms:created>
  <dcterms:modified xsi:type="dcterms:W3CDTF">2025-05-19T09:06:00Z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423af510,12963a6,6627884f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Colonnade Confidential</vt:lpwstr>
  </property>
</Properties>
</file>