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F093A" w14:textId="77777777" w:rsidR="00E44D13" w:rsidRDefault="00877B7E" w:rsidP="00E44D13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 xml:space="preserve">MATERIAŁ </w:t>
      </w:r>
      <w:r w:rsidR="00303CAB" w:rsidRPr="008A311E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PRASOWY</w:t>
      </w:r>
    </w:p>
    <w:p w14:paraId="4D698616" w14:textId="77777777" w:rsidR="00E44D13" w:rsidRPr="00E44D13" w:rsidRDefault="00E44D13" w:rsidP="00E44D13">
      <w:pPr>
        <w:shd w:val="clear" w:color="auto" w:fill="FFFFFF"/>
        <w:spacing w:after="0" w:line="276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E44D13">
        <w:rPr>
          <w:rFonts w:ascii="Calibri" w:hAnsi="Calibri" w:cs="Calibri"/>
          <w:b/>
          <w:bCs/>
          <w:sz w:val="32"/>
          <w:szCs w:val="32"/>
        </w:rPr>
        <w:t>Ubezpieczenie kosztów leczenia cudzoziemców w Polsce w 2025 roku – aktualny obraz rynku i wyzwania systemowe</w:t>
      </w:r>
    </w:p>
    <w:p w14:paraId="7BC7CE88" w14:textId="77777777" w:rsidR="00E44D13" w:rsidRPr="00D42CAE" w:rsidRDefault="00E44D13" w:rsidP="00E44D13">
      <w:pPr>
        <w:shd w:val="clear" w:color="auto" w:fill="FFFFFF"/>
        <w:spacing w:after="0" w:line="360" w:lineRule="auto"/>
        <w:jc w:val="both"/>
        <w:rPr>
          <w:rFonts w:ascii="Calibri" w:hAnsi="Calibri" w:cs="Calibri"/>
          <w:b/>
          <w:bCs/>
        </w:rPr>
      </w:pPr>
    </w:p>
    <w:p w14:paraId="2873BE02" w14:textId="7BA93676" w:rsidR="000D4A99" w:rsidRPr="00D42CAE" w:rsidRDefault="000D4A99" w:rsidP="00E44D13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</w:rPr>
      </w:pPr>
      <w:r w:rsidRPr="00D42CAE">
        <w:rPr>
          <w:rFonts w:ascii="Calibri" w:hAnsi="Calibri" w:cs="Calibri"/>
          <w:b/>
          <w:bCs/>
        </w:rPr>
        <w:t>W 2025 roku Polska pozostaje jednym z najważniejszych punktów migracyjnych w Europie Środkowo-Wschodniej. Z danych Urzędu do Spraw Cudzoziemców wynika, że na początku roku na terenie RP przebywało ponad 965 tys. cudzoziemców, z czego ponad 754 tys. miało status pobytu czasowego.</w:t>
      </w:r>
      <w:r w:rsidR="001E613A" w:rsidRPr="00D42CAE">
        <w:rPr>
          <w:rFonts w:ascii="Calibri" w:hAnsi="Calibri" w:cs="Calibri"/>
          <w:b/>
          <w:bCs/>
        </w:rPr>
        <w:t xml:space="preserve"> To nie tylko efekt rosnącej migracji, ale również konsekwencja coraz bardziej precyzyjnych regulacji prawnych, które wymuszają posiadanie odpowiedniego ubezpieczenia przy wjeździe na teren Rzeczypospolitej Polskiej.</w:t>
      </w:r>
    </w:p>
    <w:p w14:paraId="596EB6F6" w14:textId="77777777" w:rsidR="000D4A99" w:rsidRPr="00D42CAE" w:rsidRDefault="000D4A99" w:rsidP="00E44D13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21E51D41" w14:textId="7B4D2418" w:rsidR="00E44D13" w:rsidRPr="00D42CAE" w:rsidRDefault="00E44D13" w:rsidP="00E44D13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42CAE">
        <w:rPr>
          <w:rFonts w:ascii="Calibri" w:hAnsi="Calibri" w:cs="Calibri"/>
        </w:rPr>
        <w:t xml:space="preserve">Ubezpieczenie kosztów leczenia cudzoziemców przebywających w Polsce regulowane jest przez </w:t>
      </w:r>
      <w:r w:rsidRPr="00D42CAE">
        <w:rPr>
          <w:rFonts w:ascii="Calibri" w:hAnsi="Calibri" w:cs="Calibri"/>
          <w:i/>
          <w:iCs/>
        </w:rPr>
        <w:t>Ustawę o cudzoziemcach</w:t>
      </w:r>
      <w:r w:rsidRPr="00D42CAE">
        <w:rPr>
          <w:rFonts w:ascii="Calibri" w:hAnsi="Calibri" w:cs="Calibri"/>
        </w:rPr>
        <w:t xml:space="preserve"> i stanowi podstawę ochrony zdrowotnej osób spoza UE i strefy </w:t>
      </w:r>
      <w:proofErr w:type="spellStart"/>
      <w:r w:rsidRPr="00D42CAE">
        <w:rPr>
          <w:rFonts w:ascii="Calibri" w:hAnsi="Calibri" w:cs="Calibri"/>
        </w:rPr>
        <w:t>Schengen</w:t>
      </w:r>
      <w:proofErr w:type="spellEnd"/>
      <w:r w:rsidRPr="00D42CAE">
        <w:rPr>
          <w:rFonts w:ascii="Calibri" w:hAnsi="Calibri" w:cs="Calibri"/>
        </w:rPr>
        <w:t>. Przy wjeździe do Polski wymagane jest posiadanie polisy podróżnej lub medycznej o wartości co najmniej 30 000 euro.</w:t>
      </w:r>
    </w:p>
    <w:p w14:paraId="4D9F14EC" w14:textId="77777777" w:rsidR="000D4A99" w:rsidRPr="000D4A99" w:rsidRDefault="000D4A99" w:rsidP="000D4A9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</w:rPr>
      </w:pPr>
      <w:r w:rsidRPr="000D4A99">
        <w:rPr>
          <w:rFonts w:ascii="Calibri" w:hAnsi="Calibri" w:cs="Calibri"/>
          <w:b/>
          <w:bCs/>
        </w:rPr>
        <w:t>Trendy rynkowe – dynamiczny wzrost i zmiana profilu klienta</w:t>
      </w:r>
    </w:p>
    <w:p w14:paraId="5AAE34A3" w14:textId="44720F5F" w:rsidR="000D4A99" w:rsidRPr="00D42CAE" w:rsidRDefault="000D4A99" w:rsidP="001E613A">
      <w:pPr>
        <w:shd w:val="clear" w:color="auto" w:fill="FFFFFF" w:themeFill="background1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0D4A99">
        <w:rPr>
          <w:rFonts w:ascii="Calibri" w:hAnsi="Calibri" w:cs="Calibri"/>
        </w:rPr>
        <w:t>Rynek ubezpieczeń dla cudzoziemców w Polsce rośnie nieprzerwanie od 2017 roku. W ciągu ostatnich 9 lat liczba ubezpieczonych wzrosła z 265 tys. do niemal 966 tys. osób. W samym 2024 roku przybyło ponad 57 tys. nowych klientów. W 2025 roku największy udział w rynku mają obywatele</w:t>
      </w:r>
      <w:r w:rsidR="001E613A" w:rsidRPr="00D42CAE">
        <w:rPr>
          <w:rFonts w:ascii="Calibri" w:hAnsi="Calibri" w:cs="Calibri"/>
        </w:rPr>
        <w:t xml:space="preserve"> </w:t>
      </w:r>
      <w:r w:rsidRPr="000D4A99">
        <w:rPr>
          <w:rFonts w:ascii="Calibri" w:hAnsi="Calibri" w:cs="Calibri"/>
        </w:rPr>
        <w:t>Ukrainy</w:t>
      </w:r>
      <w:r w:rsidR="001E613A" w:rsidRPr="00D42CAE">
        <w:rPr>
          <w:rFonts w:ascii="Calibri" w:hAnsi="Calibri" w:cs="Calibri"/>
        </w:rPr>
        <w:t xml:space="preserve">, </w:t>
      </w:r>
      <w:r w:rsidRPr="000D4A99">
        <w:rPr>
          <w:rFonts w:ascii="Calibri" w:hAnsi="Calibri" w:cs="Calibri"/>
        </w:rPr>
        <w:t>Białorusi</w:t>
      </w:r>
      <w:r w:rsidR="001E613A" w:rsidRPr="00D42CAE">
        <w:rPr>
          <w:rFonts w:ascii="Calibri" w:hAnsi="Calibri" w:cs="Calibri"/>
        </w:rPr>
        <w:t>, I</w:t>
      </w:r>
      <w:r w:rsidRPr="000D4A99">
        <w:rPr>
          <w:rFonts w:ascii="Calibri" w:hAnsi="Calibri" w:cs="Calibri"/>
        </w:rPr>
        <w:t>ndii</w:t>
      </w:r>
      <w:r w:rsidR="001E613A" w:rsidRPr="00D42CAE">
        <w:rPr>
          <w:rFonts w:ascii="Calibri" w:hAnsi="Calibri" w:cs="Calibri"/>
        </w:rPr>
        <w:t xml:space="preserve">, </w:t>
      </w:r>
      <w:r w:rsidRPr="000D4A99">
        <w:rPr>
          <w:rFonts w:ascii="Calibri" w:hAnsi="Calibri" w:cs="Calibri"/>
        </w:rPr>
        <w:t xml:space="preserve">Gruzji </w:t>
      </w:r>
      <w:r w:rsidR="001E613A" w:rsidRPr="00D42CAE">
        <w:rPr>
          <w:rFonts w:ascii="Calibri" w:hAnsi="Calibri" w:cs="Calibri"/>
        </w:rPr>
        <w:t xml:space="preserve">oraz </w:t>
      </w:r>
      <w:r w:rsidRPr="000D4A99">
        <w:rPr>
          <w:rFonts w:ascii="Calibri" w:hAnsi="Calibri" w:cs="Calibri"/>
        </w:rPr>
        <w:t>Rosji</w:t>
      </w:r>
      <w:r w:rsidR="001E613A" w:rsidRPr="00D42CAE">
        <w:rPr>
          <w:rFonts w:ascii="Calibri" w:hAnsi="Calibri" w:cs="Calibri"/>
        </w:rPr>
        <w:t>.</w:t>
      </w:r>
    </w:p>
    <w:p w14:paraId="68263E4F" w14:textId="2213B2AA" w:rsidR="000D4A99" w:rsidRPr="00D42CAE" w:rsidRDefault="000D4A99" w:rsidP="000D4A9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0D4A99">
        <w:rPr>
          <w:rFonts w:ascii="Calibri" w:hAnsi="Calibri" w:cs="Calibri"/>
        </w:rPr>
        <w:t>W strukturze demograficznej dominują mężczyźni (6</w:t>
      </w:r>
      <w:r w:rsidR="001E613A" w:rsidRPr="00D42CAE">
        <w:rPr>
          <w:rFonts w:ascii="Calibri" w:hAnsi="Calibri" w:cs="Calibri"/>
        </w:rPr>
        <w:t>2</w:t>
      </w:r>
      <w:r w:rsidRPr="000D4A99">
        <w:rPr>
          <w:rFonts w:ascii="Calibri" w:hAnsi="Calibri" w:cs="Calibri"/>
        </w:rPr>
        <w:t>%), głównie w wieku 20–39 lat, zatrudnieni w sektorach fizycznych i usługowych. Coraz większy udział mają także studenci oraz osoby przyjeżdżające w celach turystycznych.</w:t>
      </w:r>
      <w:r w:rsidR="001E613A" w:rsidRPr="00D42CAE">
        <w:rPr>
          <w:rFonts w:ascii="Calibri" w:hAnsi="Calibri" w:cs="Calibri"/>
        </w:rPr>
        <w:t xml:space="preserve"> Kobiety stanowią 38% ubezpieczonych.</w:t>
      </w:r>
    </w:p>
    <w:p w14:paraId="32112990" w14:textId="23761E8D" w:rsidR="001D073B" w:rsidRPr="00D42CAE" w:rsidRDefault="001D073B" w:rsidP="001D073B">
      <w:pPr>
        <w:shd w:val="clear" w:color="auto" w:fill="FFFFFF" w:themeFill="background1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D42CAE">
        <w:rPr>
          <w:rFonts w:ascii="Calibri" w:hAnsi="Calibri" w:cs="Calibri"/>
          <w:i/>
          <w:iCs/>
        </w:rPr>
        <w:t>Widzimy wyraźny wzrost liczby klientów, szczególnie z Ukrainy, Białorusi i Indii. W 2025 roku dominują osoby młode, aktywne zawodowo, które potrzebują elastycznej i kompleksowej ochrony. Nasza oferta spełnia wymogi MSZ i pozwala na wybór wariantu dopasowanego do celu pobytu</w:t>
      </w:r>
      <w:r w:rsidRPr="00D42CAE">
        <w:rPr>
          <w:rFonts w:ascii="Calibri" w:hAnsi="Calibri" w:cs="Calibri"/>
        </w:rPr>
        <w:t xml:space="preserve"> – mówi </w:t>
      </w:r>
      <w:r w:rsidRPr="00D42CAE">
        <w:rPr>
          <w:rFonts w:ascii="Calibri" w:hAnsi="Calibri" w:cs="Calibri"/>
          <w:b/>
          <w:bCs/>
        </w:rPr>
        <w:t>Ewelina Kołodziejek</w:t>
      </w:r>
      <w:r w:rsidRPr="00D42CAE">
        <w:rPr>
          <w:rFonts w:ascii="Calibri" w:hAnsi="Calibri" w:cs="Calibri"/>
        </w:rPr>
        <w:t xml:space="preserve">, Menedżer Zespołu Ubezpieczeń Osobowych w </w:t>
      </w:r>
      <w:proofErr w:type="spellStart"/>
      <w:r w:rsidRPr="00D42CAE">
        <w:rPr>
          <w:rFonts w:ascii="Calibri" w:hAnsi="Calibri" w:cs="Calibri"/>
        </w:rPr>
        <w:t>Colonnade</w:t>
      </w:r>
      <w:proofErr w:type="spellEnd"/>
      <w:r w:rsidRPr="00D42CAE">
        <w:rPr>
          <w:rFonts w:ascii="Calibri" w:hAnsi="Calibri" w:cs="Calibri"/>
        </w:rPr>
        <w:t xml:space="preserve"> </w:t>
      </w:r>
      <w:proofErr w:type="spellStart"/>
      <w:r w:rsidRPr="00D42CAE">
        <w:rPr>
          <w:rFonts w:ascii="Calibri" w:hAnsi="Calibri" w:cs="Calibri"/>
        </w:rPr>
        <w:t>Insurance</w:t>
      </w:r>
      <w:proofErr w:type="spellEnd"/>
      <w:r w:rsidRPr="00D42CAE">
        <w:rPr>
          <w:rFonts w:ascii="Calibri" w:hAnsi="Calibri" w:cs="Calibri"/>
        </w:rPr>
        <w:t xml:space="preserve"> S.A.</w:t>
      </w:r>
    </w:p>
    <w:p w14:paraId="015E271A" w14:textId="77777777" w:rsidR="001E613A" w:rsidRPr="001E613A" w:rsidRDefault="001E613A" w:rsidP="001E613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</w:rPr>
      </w:pPr>
      <w:r w:rsidRPr="001E613A">
        <w:rPr>
          <w:rFonts w:ascii="Calibri" w:hAnsi="Calibri" w:cs="Calibri"/>
          <w:b/>
          <w:bCs/>
        </w:rPr>
        <w:t>Regulacje prawne – obowiązek i wyłączenia</w:t>
      </w:r>
    </w:p>
    <w:p w14:paraId="140EB442" w14:textId="77777777" w:rsidR="001E613A" w:rsidRPr="001E613A" w:rsidRDefault="001E613A" w:rsidP="001E613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1E613A">
        <w:rPr>
          <w:rFonts w:ascii="Calibri" w:hAnsi="Calibri" w:cs="Calibri"/>
        </w:rPr>
        <w:t xml:space="preserve">Zgodnie z art. 25 </w:t>
      </w:r>
      <w:r w:rsidRPr="001E613A">
        <w:rPr>
          <w:rFonts w:ascii="Calibri" w:hAnsi="Calibri" w:cs="Calibri"/>
          <w:i/>
          <w:iCs/>
        </w:rPr>
        <w:t>Ustawy o cudzoziemcach</w:t>
      </w:r>
      <w:r w:rsidRPr="001E613A">
        <w:rPr>
          <w:rFonts w:ascii="Calibri" w:hAnsi="Calibri" w:cs="Calibri"/>
        </w:rPr>
        <w:t>, osoby spoza UE, EFTA i Wielkiej Brytanii muszą posiadać:</w:t>
      </w:r>
    </w:p>
    <w:p w14:paraId="5A660223" w14:textId="77777777" w:rsidR="0065673F" w:rsidRDefault="001E613A" w:rsidP="001E613A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1E613A">
        <w:rPr>
          <w:rFonts w:ascii="Calibri" w:hAnsi="Calibri" w:cs="Calibri"/>
        </w:rPr>
        <w:t xml:space="preserve">ubezpieczenie zdrowotne finansowane ze środków publicznych </w:t>
      </w:r>
    </w:p>
    <w:p w14:paraId="132607F3" w14:textId="166CDB40" w:rsidR="001E613A" w:rsidRPr="0065673F" w:rsidRDefault="001E613A" w:rsidP="0065673F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Calibri" w:hAnsi="Calibri" w:cs="Calibri"/>
        </w:rPr>
      </w:pPr>
      <w:r w:rsidRPr="00450DD8">
        <w:rPr>
          <w:rFonts w:ascii="Calibri" w:hAnsi="Calibri" w:cs="Calibri"/>
          <w:bCs/>
        </w:rPr>
        <w:t>lub</w:t>
      </w:r>
    </w:p>
    <w:p w14:paraId="350BB540" w14:textId="77777777" w:rsidR="001E613A" w:rsidRPr="001E613A" w:rsidRDefault="001E613A" w:rsidP="001E613A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1E613A">
        <w:rPr>
          <w:rFonts w:ascii="Calibri" w:hAnsi="Calibri" w:cs="Calibri"/>
        </w:rPr>
        <w:t xml:space="preserve">podróżne ubezpieczenie medyczne na kwotę </w:t>
      </w:r>
      <w:r w:rsidRPr="001E613A">
        <w:rPr>
          <w:rFonts w:ascii="Calibri" w:hAnsi="Calibri" w:cs="Calibri"/>
          <w:b/>
          <w:bCs/>
        </w:rPr>
        <w:t>minimum 30 000 euro</w:t>
      </w:r>
      <w:r w:rsidRPr="001E613A">
        <w:rPr>
          <w:rFonts w:ascii="Calibri" w:hAnsi="Calibri" w:cs="Calibri"/>
        </w:rPr>
        <w:t>, ważne przez cały okres pobytu.</w:t>
      </w:r>
    </w:p>
    <w:p w14:paraId="1C8D1CEF" w14:textId="0C88F2D1" w:rsidR="001D073B" w:rsidRPr="00D42CAE" w:rsidRDefault="001E613A" w:rsidP="001E613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1E613A">
        <w:rPr>
          <w:rFonts w:ascii="Calibri" w:hAnsi="Calibri" w:cs="Calibri"/>
        </w:rPr>
        <w:t>Wyłączeni z obowiązku są m.in. członkowie misji dyplomatycznych, obywatele UE, EFTA oraz osoby z kartą stałego pobytu.</w:t>
      </w:r>
      <w:r w:rsidRPr="00D42CAE">
        <w:rPr>
          <w:rFonts w:ascii="Calibri" w:hAnsi="Calibri" w:cs="Calibri"/>
        </w:rPr>
        <w:t xml:space="preserve"> </w:t>
      </w:r>
      <w:r w:rsidRPr="001E613A">
        <w:rPr>
          <w:rFonts w:ascii="Calibri" w:hAnsi="Calibri" w:cs="Calibri"/>
        </w:rPr>
        <w:t>Nowelizacja ustawy z 2020 roku wprowadziła listę zatwierdzonych ubezpieczycieli publikowaną przez MSZ, co zwiększyło przejrzystość i bezpieczeństwo dla klientów.</w:t>
      </w:r>
    </w:p>
    <w:p w14:paraId="06EC5286" w14:textId="3A4FA581" w:rsidR="001E613A" w:rsidRPr="00D42CAE" w:rsidRDefault="001E613A" w:rsidP="001E613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1E613A">
        <w:rPr>
          <w:rFonts w:ascii="Calibri" w:hAnsi="Calibri" w:cs="Calibri"/>
          <w:b/>
          <w:bCs/>
        </w:rPr>
        <w:lastRenderedPageBreak/>
        <w:t xml:space="preserve">Zakres ochrony </w:t>
      </w:r>
    </w:p>
    <w:p w14:paraId="3CDCBA97" w14:textId="1D07C2CC" w:rsidR="001E613A" w:rsidRPr="001E613A" w:rsidRDefault="001E613A" w:rsidP="001E613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D42CAE">
        <w:rPr>
          <w:rFonts w:ascii="Calibri" w:hAnsi="Calibri" w:cs="Calibri"/>
        </w:rPr>
        <w:t xml:space="preserve">Zakres ochrony </w:t>
      </w:r>
      <w:r w:rsidRPr="001E613A">
        <w:rPr>
          <w:rFonts w:ascii="Calibri" w:hAnsi="Calibri" w:cs="Calibri"/>
        </w:rPr>
        <w:t xml:space="preserve">oferowanej przez ubezpieczycieli jest coraz bardziej kompleksowy. Obejmuje nie tylko podstawowe świadczenia medyczne, takie jak konsultacje lekarskie, leczenie szpitalne czy zakup leków, ale również pomoc w nagłych przypadkach związanych z COVID-19, komplikacjami ciążowymi czy nagłym leczeniem stomatologicznym. Dodatkowo, pakiety </w:t>
      </w:r>
      <w:proofErr w:type="spellStart"/>
      <w:r w:rsidRPr="001E613A">
        <w:rPr>
          <w:rFonts w:ascii="Calibri" w:hAnsi="Calibri" w:cs="Calibri"/>
        </w:rPr>
        <w:t>assistance</w:t>
      </w:r>
      <w:proofErr w:type="spellEnd"/>
      <w:r w:rsidRPr="001E613A">
        <w:rPr>
          <w:rFonts w:ascii="Calibri" w:hAnsi="Calibri" w:cs="Calibri"/>
        </w:rPr>
        <w:t xml:space="preserve"> zapewniają całodobową obsługę, transport medyczny, pomoc w przypadku utraty dokumentów, a nawet porady wizowe i informacje o szczepieniach.</w:t>
      </w:r>
    </w:p>
    <w:p w14:paraId="7AEF0340" w14:textId="77777777" w:rsidR="001E613A" w:rsidRPr="001E613A" w:rsidRDefault="001E613A" w:rsidP="001E613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1E613A">
        <w:rPr>
          <w:rFonts w:ascii="Calibri" w:hAnsi="Calibri" w:cs="Calibri"/>
        </w:rPr>
        <w:t xml:space="preserve">W odpowiedzi na potrzeby rynku, firmy ubezpieczeniowe – takie jak </w:t>
      </w:r>
      <w:proofErr w:type="spellStart"/>
      <w:r w:rsidRPr="001E613A">
        <w:rPr>
          <w:rFonts w:ascii="Calibri" w:hAnsi="Calibri" w:cs="Calibri"/>
        </w:rPr>
        <w:t>Colonnade</w:t>
      </w:r>
      <w:proofErr w:type="spellEnd"/>
      <w:r w:rsidRPr="001E613A">
        <w:rPr>
          <w:rFonts w:ascii="Calibri" w:hAnsi="Calibri" w:cs="Calibri"/>
        </w:rPr>
        <w:t xml:space="preserve"> </w:t>
      </w:r>
      <w:proofErr w:type="spellStart"/>
      <w:r w:rsidRPr="001E613A">
        <w:rPr>
          <w:rFonts w:ascii="Calibri" w:hAnsi="Calibri" w:cs="Calibri"/>
        </w:rPr>
        <w:t>Insurance</w:t>
      </w:r>
      <w:proofErr w:type="spellEnd"/>
      <w:r w:rsidRPr="001E613A">
        <w:rPr>
          <w:rFonts w:ascii="Calibri" w:hAnsi="Calibri" w:cs="Calibri"/>
        </w:rPr>
        <w:t xml:space="preserve"> S.A. – oferują warianty polis dostosowane do różnych scenariuszy pobytu. Dostępne są zarówno opcje indywidualne, jak i grupowe, z sumami ubezpieczenia sięgającymi 60 tysięcy euro. Ochronę można rozszerzyć o ryzyka związane z pracą fizyczną, chorobami przewlekłymi, odpowiedzialnością cywilną czy nieszczęśliwymi wypadkami. Taka konstrukcja pozwala na precyzyjne dopasowanie produktu do profilu klienta.</w:t>
      </w:r>
    </w:p>
    <w:p w14:paraId="3E5CAAA2" w14:textId="4CCD2A82" w:rsidR="001E613A" w:rsidRPr="001E613A" w:rsidRDefault="008A2384" w:rsidP="001E613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D42CAE">
        <w:rPr>
          <w:rFonts w:ascii="Calibri" w:hAnsi="Calibri" w:cs="Calibri"/>
          <w:i/>
          <w:iCs/>
        </w:rPr>
        <w:t>N</w:t>
      </w:r>
      <w:r w:rsidR="001E613A" w:rsidRPr="001E613A">
        <w:rPr>
          <w:rFonts w:ascii="Calibri" w:hAnsi="Calibri" w:cs="Calibri"/>
          <w:i/>
          <w:iCs/>
        </w:rPr>
        <w:t>ajwiększe zapotrzebowanie na ubezpieczenia dla cudzoziemców występuje w województwach mazowieckim, małopolskim, wielkopolskim, łódzkim i pomorskim. To regiony o wysokim poziomie urbanizacji i dużej liczbie miejsc pracy, szczególnie w sektorach usługowych i przemysłowych. Wzrost liczby ubezpieczonych w tych obszarach jest bezpośrednio związany z lokalnymi trendami migracyjnymi</w:t>
      </w:r>
      <w:r w:rsidRPr="00D42CAE">
        <w:rPr>
          <w:rFonts w:ascii="Calibri" w:hAnsi="Calibri" w:cs="Calibri"/>
        </w:rPr>
        <w:t xml:space="preserve"> – </w:t>
      </w:r>
      <w:r w:rsidR="001D073B" w:rsidRPr="00D42CAE">
        <w:rPr>
          <w:rFonts w:ascii="Calibri" w:hAnsi="Calibri" w:cs="Calibri"/>
        </w:rPr>
        <w:t>dodaje</w:t>
      </w:r>
      <w:r w:rsidRPr="00D42CAE">
        <w:rPr>
          <w:rFonts w:ascii="Calibri" w:hAnsi="Calibri" w:cs="Calibri"/>
        </w:rPr>
        <w:t xml:space="preserve"> </w:t>
      </w:r>
      <w:r w:rsidR="001D073B" w:rsidRPr="00D42CAE">
        <w:rPr>
          <w:rFonts w:ascii="Calibri" w:hAnsi="Calibri" w:cs="Calibri"/>
        </w:rPr>
        <w:t>Ewelina Kołodziejczyk.</w:t>
      </w:r>
    </w:p>
    <w:p w14:paraId="0C47C0E7" w14:textId="5E204498" w:rsidR="001D073B" w:rsidRPr="00D42CAE" w:rsidRDefault="001D073B" w:rsidP="001E613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</w:rPr>
      </w:pPr>
      <w:r w:rsidRPr="00D42CAE">
        <w:rPr>
          <w:rFonts w:ascii="Calibri" w:hAnsi="Calibri" w:cs="Calibri"/>
          <w:b/>
          <w:bCs/>
        </w:rPr>
        <w:t>Zmiany regulacyjne</w:t>
      </w:r>
    </w:p>
    <w:p w14:paraId="040AD069" w14:textId="31C922C6" w:rsidR="001E613A" w:rsidRPr="001E613A" w:rsidRDefault="001E613A" w:rsidP="001E613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1E613A">
        <w:rPr>
          <w:rFonts w:ascii="Calibri" w:hAnsi="Calibri" w:cs="Calibri"/>
        </w:rPr>
        <w:t>Warto również zwrócić uwagę na zmiany legislacyjne, które weszły w życie w ostatnich latach. Nowelizacja ustawy o cudzoziemcach z 2020 roku oraz aktualizacje publikowane przez Ministerstwo Spraw Zagranicznych wprowadzają większą przejrzystość w zakresie akceptowanych polis i ubezpieczycieli. To krok w stronę uszczelnienia systemu i zapewnienia realnej ochrony zdrowotnej dla osób przebywających na terenie Polski.</w:t>
      </w:r>
    </w:p>
    <w:p w14:paraId="2DEA1188" w14:textId="7CD7E1B0" w:rsidR="001E613A" w:rsidRPr="001E613A" w:rsidRDefault="001E613A" w:rsidP="001E613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1E613A">
        <w:rPr>
          <w:rFonts w:ascii="Calibri" w:hAnsi="Calibri" w:cs="Calibri"/>
        </w:rPr>
        <w:t>Choć rynek ubezpieczeń dla cudzoziemców rozwija się dynamicznie, nadal istnieją</w:t>
      </w:r>
      <w:r w:rsidR="00D146FC">
        <w:rPr>
          <w:rFonts w:ascii="Calibri" w:hAnsi="Calibri" w:cs="Calibri"/>
        </w:rPr>
        <w:t xml:space="preserve"> na nim pewne</w:t>
      </w:r>
      <w:r w:rsidRPr="001E613A">
        <w:rPr>
          <w:rFonts w:ascii="Calibri" w:hAnsi="Calibri" w:cs="Calibri"/>
        </w:rPr>
        <w:t xml:space="preserve"> wyzwania. Należy do nich m.in. konieczność lepszego informowania migrantów o obowiązkach ubezpieczeniowych, uproszczenie procedur zakupu polis oraz integracja systemów migracyjnych z bazami danych ubezpieczycieli. W perspektywie najbliższych lat kluczowe będzie także dostosowanie produktów do zmieniających się potrzeb klientów – zarówno pod względem zakresu ochrony, jak i formy dystrybucji.</w:t>
      </w:r>
    </w:p>
    <w:p w14:paraId="166D133E" w14:textId="0FAA4E65" w:rsidR="00E44D13" w:rsidRPr="00D42CAE" w:rsidRDefault="001E613A" w:rsidP="00E44D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1E613A">
        <w:rPr>
          <w:rFonts w:ascii="Calibri" w:hAnsi="Calibri" w:cs="Calibri"/>
        </w:rPr>
        <w:t>Ubezpieczenie kosztów leczenia cudzoziemców w Polsce to nie tylko wymóg formalny, ale realne narzędzie ochrony zdrowia i życia. W 2025 roku staje się ono jednym z filarów odpowiedzialnej polityki migracyjnej i społecznej, a jego rola będzie tylko rosła.</w:t>
      </w:r>
    </w:p>
    <w:p w14:paraId="1324CF38" w14:textId="2AC20018" w:rsidR="001A573D" w:rsidRPr="00C21357" w:rsidRDefault="001A573D" w:rsidP="008C4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C21357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0CABBA06" w14:textId="77777777" w:rsidR="00877B7E" w:rsidRPr="00E83F35" w:rsidRDefault="00877B7E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330C3E17" w14:textId="57D1A8C1" w:rsidR="001A573D" w:rsidRPr="00E83F35" w:rsidRDefault="00032E9D" w:rsidP="00032E9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</w:pP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Colonnade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Insurance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Colonnade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wspierają wiodący światowi reasekuratorzy o najsilniejszej pozycji finansowej, między innymi Swiss Re,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Hanover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Munich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BRIT, AWAC, syndykat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Lloyd's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, AIG. Firma powadzi działalność przez oddziały w Bułgarii, Czechach, na Węgrzech, w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lastRenderedPageBreak/>
        <w:t xml:space="preserve">Rumunii, Polsce, Słowacji oraz przez spółkę w Ukrainie, korzystając z pomocy zespołu ponad </w:t>
      </w:r>
      <w:r w:rsidR="006A3DB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6</w:t>
      </w:r>
      <w:r w:rsidR="005D4A32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00</w:t>
      </w:r>
      <w:r w:rsidR="005D4A32"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doświadczonych specjalistów. Oferuje produkty dla klientów indywidualnych i korporacyjnych i od </w:t>
      </w:r>
      <w:r w:rsidR="00665ABF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2017 r.</w:t>
      </w:r>
      <w:r w:rsidR="00665ABF"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lat </w:t>
      </w:r>
      <w:hyperlink r:id="rId11" w:history="1">
        <w:r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posiada rating A-</w:t>
        </w:r>
        <w:r w:rsidR="00665ABF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 xml:space="preserve"> nada</w:t>
        </w:r>
        <w:r w:rsidR="00972C30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n</w:t>
        </w:r>
        <w:r w:rsidR="00665ABF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y przez AM Best</w:t>
        </w:r>
      </w:hyperlink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Kapitał zakładowy wynosi 9 500 000 EUR.</w:t>
      </w:r>
    </w:p>
    <w:p w14:paraId="5E5267D6" w14:textId="5C6C5CD3" w:rsidR="001F2A38" w:rsidRPr="002C6404" w:rsidRDefault="001F2A38" w:rsidP="001A573D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</w:p>
    <w:sectPr w:rsidR="001F2A38" w:rsidRPr="002C6404" w:rsidSect="00D01406">
      <w:headerReference w:type="default" r:id="rId12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64E5F" w14:textId="77777777" w:rsidR="00F77B91" w:rsidRDefault="00F77B91" w:rsidP="00303CAB">
      <w:pPr>
        <w:spacing w:after="0" w:line="240" w:lineRule="auto"/>
      </w:pPr>
      <w:r>
        <w:separator/>
      </w:r>
    </w:p>
  </w:endnote>
  <w:endnote w:type="continuationSeparator" w:id="0">
    <w:p w14:paraId="6245F0E8" w14:textId="77777777" w:rsidR="00F77B91" w:rsidRDefault="00F77B91" w:rsidP="00303CAB">
      <w:pPr>
        <w:spacing w:after="0" w:line="240" w:lineRule="auto"/>
      </w:pPr>
      <w:r>
        <w:continuationSeparator/>
      </w:r>
    </w:p>
  </w:endnote>
  <w:endnote w:type="continuationNotice" w:id="1">
    <w:p w14:paraId="67EB4CEE" w14:textId="77777777" w:rsidR="00F77B91" w:rsidRDefault="00F77B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altName w:val="Arial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4A6FC" w14:textId="77777777" w:rsidR="00F77B91" w:rsidRDefault="00F77B91" w:rsidP="00303CAB">
      <w:pPr>
        <w:spacing w:after="0" w:line="240" w:lineRule="auto"/>
      </w:pPr>
      <w:r>
        <w:separator/>
      </w:r>
    </w:p>
  </w:footnote>
  <w:footnote w:type="continuationSeparator" w:id="0">
    <w:p w14:paraId="22222081" w14:textId="77777777" w:rsidR="00F77B91" w:rsidRDefault="00F77B91" w:rsidP="00303CAB">
      <w:pPr>
        <w:spacing w:after="0" w:line="240" w:lineRule="auto"/>
      </w:pPr>
      <w:r>
        <w:continuationSeparator/>
      </w:r>
    </w:p>
  </w:footnote>
  <w:footnote w:type="continuationNotice" w:id="1">
    <w:p w14:paraId="180F83FC" w14:textId="77777777" w:rsidR="00F77B91" w:rsidRDefault="00F77B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F22F5" w14:textId="048A275C" w:rsidR="00303CAB" w:rsidRDefault="002E2B6C" w:rsidP="007F2DF8">
    <w:pPr>
      <w:pStyle w:val="Nagwek"/>
      <w:jc w:val="right"/>
    </w:pPr>
    <w:r w:rsidRPr="002E2B6C">
      <w:rPr>
        <w:noProof/>
        <w:lang w:eastAsia="pl-PL"/>
      </w:rPr>
      <w:drawing>
        <wp:inline distT="0" distB="0" distL="0" distR="0" wp14:anchorId="678FED37" wp14:editId="4530828D">
          <wp:extent cx="1572491" cy="88454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81FC5"/>
    <w:multiLevelType w:val="multilevel"/>
    <w:tmpl w:val="1346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627FC"/>
    <w:multiLevelType w:val="hybridMultilevel"/>
    <w:tmpl w:val="6250E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95422"/>
    <w:multiLevelType w:val="multilevel"/>
    <w:tmpl w:val="D7F8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54F72"/>
    <w:multiLevelType w:val="multilevel"/>
    <w:tmpl w:val="02A6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42801"/>
    <w:multiLevelType w:val="hybridMultilevel"/>
    <w:tmpl w:val="DA520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E1C57"/>
    <w:multiLevelType w:val="multilevel"/>
    <w:tmpl w:val="C174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E5B0E"/>
    <w:multiLevelType w:val="multilevel"/>
    <w:tmpl w:val="FA4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632BA5"/>
    <w:multiLevelType w:val="hybridMultilevel"/>
    <w:tmpl w:val="287EE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021ED"/>
    <w:multiLevelType w:val="multilevel"/>
    <w:tmpl w:val="807A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637A12"/>
    <w:multiLevelType w:val="multilevel"/>
    <w:tmpl w:val="CBB2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AA14EA"/>
    <w:multiLevelType w:val="multilevel"/>
    <w:tmpl w:val="168A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656217">
    <w:abstractNumId w:val="7"/>
  </w:num>
  <w:num w:numId="2" w16cid:durableId="963074506">
    <w:abstractNumId w:val="4"/>
  </w:num>
  <w:num w:numId="3" w16cid:durableId="15470246">
    <w:abstractNumId w:val="1"/>
  </w:num>
  <w:num w:numId="4" w16cid:durableId="46881416">
    <w:abstractNumId w:val="3"/>
  </w:num>
  <w:num w:numId="5" w16cid:durableId="253437965">
    <w:abstractNumId w:val="0"/>
  </w:num>
  <w:num w:numId="6" w16cid:durableId="702756344">
    <w:abstractNumId w:val="9"/>
  </w:num>
  <w:num w:numId="7" w16cid:durableId="1792550007">
    <w:abstractNumId w:val="2"/>
  </w:num>
  <w:num w:numId="8" w16cid:durableId="630747801">
    <w:abstractNumId w:val="10"/>
  </w:num>
  <w:num w:numId="9" w16cid:durableId="1835410662">
    <w:abstractNumId w:val="5"/>
  </w:num>
  <w:num w:numId="10" w16cid:durableId="333847899">
    <w:abstractNumId w:val="8"/>
  </w:num>
  <w:num w:numId="11" w16cid:durableId="507797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CA"/>
    <w:rsid w:val="00001CF5"/>
    <w:rsid w:val="00016B2B"/>
    <w:rsid w:val="0002015D"/>
    <w:rsid w:val="00032E9D"/>
    <w:rsid w:val="00035CC9"/>
    <w:rsid w:val="00037038"/>
    <w:rsid w:val="000423B2"/>
    <w:rsid w:val="00044670"/>
    <w:rsid w:val="00044BBC"/>
    <w:rsid w:val="00053DFF"/>
    <w:rsid w:val="00056B0F"/>
    <w:rsid w:val="0006001E"/>
    <w:rsid w:val="0006050D"/>
    <w:rsid w:val="000716C1"/>
    <w:rsid w:val="00076BBB"/>
    <w:rsid w:val="00077EDB"/>
    <w:rsid w:val="000937A8"/>
    <w:rsid w:val="00094E8A"/>
    <w:rsid w:val="00097A9B"/>
    <w:rsid w:val="000A77CE"/>
    <w:rsid w:val="000B015F"/>
    <w:rsid w:val="000B5189"/>
    <w:rsid w:val="000B6EFA"/>
    <w:rsid w:val="000C5311"/>
    <w:rsid w:val="000C7C7E"/>
    <w:rsid w:val="000D4A99"/>
    <w:rsid w:val="00102637"/>
    <w:rsid w:val="00102B2F"/>
    <w:rsid w:val="001141E6"/>
    <w:rsid w:val="00116D45"/>
    <w:rsid w:val="00123CC3"/>
    <w:rsid w:val="00131138"/>
    <w:rsid w:val="00142058"/>
    <w:rsid w:val="0014380E"/>
    <w:rsid w:val="00151720"/>
    <w:rsid w:val="00156C8B"/>
    <w:rsid w:val="00165993"/>
    <w:rsid w:val="00165C06"/>
    <w:rsid w:val="0016634B"/>
    <w:rsid w:val="00166495"/>
    <w:rsid w:val="00170C76"/>
    <w:rsid w:val="001824FD"/>
    <w:rsid w:val="0018556F"/>
    <w:rsid w:val="00197389"/>
    <w:rsid w:val="001973EA"/>
    <w:rsid w:val="001A522D"/>
    <w:rsid w:val="001A573D"/>
    <w:rsid w:val="001A58B6"/>
    <w:rsid w:val="001A58FF"/>
    <w:rsid w:val="001A7B5B"/>
    <w:rsid w:val="001B24BB"/>
    <w:rsid w:val="001B2F41"/>
    <w:rsid w:val="001C1A5D"/>
    <w:rsid w:val="001C2B8E"/>
    <w:rsid w:val="001C3256"/>
    <w:rsid w:val="001C7C4A"/>
    <w:rsid w:val="001D073B"/>
    <w:rsid w:val="001D117A"/>
    <w:rsid w:val="001D4430"/>
    <w:rsid w:val="001E3102"/>
    <w:rsid w:val="001E613A"/>
    <w:rsid w:val="001E7108"/>
    <w:rsid w:val="001F2A38"/>
    <w:rsid w:val="00200859"/>
    <w:rsid w:val="002071A2"/>
    <w:rsid w:val="00214A4F"/>
    <w:rsid w:val="00214CDD"/>
    <w:rsid w:val="00236F18"/>
    <w:rsid w:val="002561A0"/>
    <w:rsid w:val="002605EB"/>
    <w:rsid w:val="0026204A"/>
    <w:rsid w:val="00263A9C"/>
    <w:rsid w:val="00266FF3"/>
    <w:rsid w:val="002713F5"/>
    <w:rsid w:val="00272CC6"/>
    <w:rsid w:val="00276C61"/>
    <w:rsid w:val="002868EC"/>
    <w:rsid w:val="00291904"/>
    <w:rsid w:val="002A2AB7"/>
    <w:rsid w:val="002A4814"/>
    <w:rsid w:val="002B73E6"/>
    <w:rsid w:val="002C0D27"/>
    <w:rsid w:val="002C18D5"/>
    <w:rsid w:val="002C6404"/>
    <w:rsid w:val="002E1E0D"/>
    <w:rsid w:val="002E2B6C"/>
    <w:rsid w:val="00303CAB"/>
    <w:rsid w:val="003064A2"/>
    <w:rsid w:val="0031018C"/>
    <w:rsid w:val="00313F47"/>
    <w:rsid w:val="00341DCB"/>
    <w:rsid w:val="0034775A"/>
    <w:rsid w:val="0035100D"/>
    <w:rsid w:val="00364332"/>
    <w:rsid w:val="00364A16"/>
    <w:rsid w:val="00364B44"/>
    <w:rsid w:val="00366A2B"/>
    <w:rsid w:val="003672B1"/>
    <w:rsid w:val="00367B4D"/>
    <w:rsid w:val="0037019A"/>
    <w:rsid w:val="00370652"/>
    <w:rsid w:val="00380BAF"/>
    <w:rsid w:val="00380E31"/>
    <w:rsid w:val="003820A8"/>
    <w:rsid w:val="003826B6"/>
    <w:rsid w:val="00395FD5"/>
    <w:rsid w:val="003B0482"/>
    <w:rsid w:val="003B3A19"/>
    <w:rsid w:val="003C0D8A"/>
    <w:rsid w:val="003C700D"/>
    <w:rsid w:val="003D02EA"/>
    <w:rsid w:val="003D1309"/>
    <w:rsid w:val="003D6456"/>
    <w:rsid w:val="003D6898"/>
    <w:rsid w:val="003E0803"/>
    <w:rsid w:val="003E7208"/>
    <w:rsid w:val="003F0FF0"/>
    <w:rsid w:val="00403699"/>
    <w:rsid w:val="00404C66"/>
    <w:rsid w:val="00420D38"/>
    <w:rsid w:val="00420E0C"/>
    <w:rsid w:val="00420FF8"/>
    <w:rsid w:val="0042185A"/>
    <w:rsid w:val="00430F0D"/>
    <w:rsid w:val="00444A75"/>
    <w:rsid w:val="00450DD8"/>
    <w:rsid w:val="00453442"/>
    <w:rsid w:val="00465680"/>
    <w:rsid w:val="00477306"/>
    <w:rsid w:val="00480405"/>
    <w:rsid w:val="00485CF9"/>
    <w:rsid w:val="00495AB6"/>
    <w:rsid w:val="004A1DA6"/>
    <w:rsid w:val="004A7762"/>
    <w:rsid w:val="004B0D54"/>
    <w:rsid w:val="004B2B5C"/>
    <w:rsid w:val="004B571C"/>
    <w:rsid w:val="004D31BF"/>
    <w:rsid w:val="004E02DA"/>
    <w:rsid w:val="004E0B08"/>
    <w:rsid w:val="004E1B13"/>
    <w:rsid w:val="004E7204"/>
    <w:rsid w:val="004F53E3"/>
    <w:rsid w:val="004F6CCF"/>
    <w:rsid w:val="0050110E"/>
    <w:rsid w:val="005015E9"/>
    <w:rsid w:val="005029E5"/>
    <w:rsid w:val="005051EC"/>
    <w:rsid w:val="00520121"/>
    <w:rsid w:val="005314A6"/>
    <w:rsid w:val="0053369A"/>
    <w:rsid w:val="0054007D"/>
    <w:rsid w:val="0055330F"/>
    <w:rsid w:val="005574E9"/>
    <w:rsid w:val="005602F6"/>
    <w:rsid w:val="005710F5"/>
    <w:rsid w:val="00572715"/>
    <w:rsid w:val="00576283"/>
    <w:rsid w:val="005826C1"/>
    <w:rsid w:val="00587A54"/>
    <w:rsid w:val="00595938"/>
    <w:rsid w:val="005A2A7C"/>
    <w:rsid w:val="005A6AC9"/>
    <w:rsid w:val="005C18A6"/>
    <w:rsid w:val="005C237A"/>
    <w:rsid w:val="005D273E"/>
    <w:rsid w:val="005D4A32"/>
    <w:rsid w:val="005F5C65"/>
    <w:rsid w:val="00605CE9"/>
    <w:rsid w:val="00606AEA"/>
    <w:rsid w:val="00610364"/>
    <w:rsid w:val="00612764"/>
    <w:rsid w:val="00613ECA"/>
    <w:rsid w:val="00614CC2"/>
    <w:rsid w:val="00616352"/>
    <w:rsid w:val="00617FC5"/>
    <w:rsid w:val="006222F8"/>
    <w:rsid w:val="006226F7"/>
    <w:rsid w:val="0062685E"/>
    <w:rsid w:val="00627F83"/>
    <w:rsid w:val="0063597F"/>
    <w:rsid w:val="0064085C"/>
    <w:rsid w:val="006462F7"/>
    <w:rsid w:val="006464AA"/>
    <w:rsid w:val="00655095"/>
    <w:rsid w:val="0065673F"/>
    <w:rsid w:val="006615F0"/>
    <w:rsid w:val="00663C77"/>
    <w:rsid w:val="00665ABF"/>
    <w:rsid w:val="00683884"/>
    <w:rsid w:val="00687D21"/>
    <w:rsid w:val="00691DFA"/>
    <w:rsid w:val="006928BC"/>
    <w:rsid w:val="006A1E76"/>
    <w:rsid w:val="006A350A"/>
    <w:rsid w:val="006A3DB5"/>
    <w:rsid w:val="006A5081"/>
    <w:rsid w:val="006A5504"/>
    <w:rsid w:val="006C5495"/>
    <w:rsid w:val="006D00BC"/>
    <w:rsid w:val="006D2F2C"/>
    <w:rsid w:val="006D36BF"/>
    <w:rsid w:val="006D875D"/>
    <w:rsid w:val="006E1FF9"/>
    <w:rsid w:val="006E4B70"/>
    <w:rsid w:val="006E54DC"/>
    <w:rsid w:val="006E6DA0"/>
    <w:rsid w:val="006F2B0B"/>
    <w:rsid w:val="006F5F08"/>
    <w:rsid w:val="00703552"/>
    <w:rsid w:val="00704977"/>
    <w:rsid w:val="007169A9"/>
    <w:rsid w:val="00717CA2"/>
    <w:rsid w:val="00726843"/>
    <w:rsid w:val="007303F1"/>
    <w:rsid w:val="00736891"/>
    <w:rsid w:val="00737E2E"/>
    <w:rsid w:val="00753D0A"/>
    <w:rsid w:val="00755C75"/>
    <w:rsid w:val="00767431"/>
    <w:rsid w:val="0077129B"/>
    <w:rsid w:val="007776EB"/>
    <w:rsid w:val="00782631"/>
    <w:rsid w:val="00783498"/>
    <w:rsid w:val="00792E66"/>
    <w:rsid w:val="007A59D2"/>
    <w:rsid w:val="007A6644"/>
    <w:rsid w:val="007B2230"/>
    <w:rsid w:val="007B7AD7"/>
    <w:rsid w:val="007D0D5E"/>
    <w:rsid w:val="007D67EA"/>
    <w:rsid w:val="007E7720"/>
    <w:rsid w:val="007F2DF8"/>
    <w:rsid w:val="0080165E"/>
    <w:rsid w:val="0080273D"/>
    <w:rsid w:val="00807213"/>
    <w:rsid w:val="0080739A"/>
    <w:rsid w:val="00820B90"/>
    <w:rsid w:val="00832527"/>
    <w:rsid w:val="008327BB"/>
    <w:rsid w:val="00833DD6"/>
    <w:rsid w:val="00851F47"/>
    <w:rsid w:val="0085382A"/>
    <w:rsid w:val="00853E1C"/>
    <w:rsid w:val="00854E7C"/>
    <w:rsid w:val="0085698E"/>
    <w:rsid w:val="00861AD7"/>
    <w:rsid w:val="00864DE9"/>
    <w:rsid w:val="00870400"/>
    <w:rsid w:val="00873573"/>
    <w:rsid w:val="00875DA9"/>
    <w:rsid w:val="00877B7E"/>
    <w:rsid w:val="00883EFF"/>
    <w:rsid w:val="00891106"/>
    <w:rsid w:val="008A2384"/>
    <w:rsid w:val="008A311E"/>
    <w:rsid w:val="008A6314"/>
    <w:rsid w:val="008C070E"/>
    <w:rsid w:val="008C3700"/>
    <w:rsid w:val="008C491F"/>
    <w:rsid w:val="008D337E"/>
    <w:rsid w:val="008D4627"/>
    <w:rsid w:val="008D54DB"/>
    <w:rsid w:val="008E1DCB"/>
    <w:rsid w:val="008E7734"/>
    <w:rsid w:val="008F0BAE"/>
    <w:rsid w:val="00903D4D"/>
    <w:rsid w:val="00916AD1"/>
    <w:rsid w:val="00921B1C"/>
    <w:rsid w:val="0092400A"/>
    <w:rsid w:val="00927005"/>
    <w:rsid w:val="009312FD"/>
    <w:rsid w:val="00944ACB"/>
    <w:rsid w:val="00945DAD"/>
    <w:rsid w:val="00950BE1"/>
    <w:rsid w:val="00972149"/>
    <w:rsid w:val="00972C30"/>
    <w:rsid w:val="009924F8"/>
    <w:rsid w:val="009A033D"/>
    <w:rsid w:val="009B1B1E"/>
    <w:rsid w:val="009C0B28"/>
    <w:rsid w:val="009C4A14"/>
    <w:rsid w:val="009D3017"/>
    <w:rsid w:val="009D6741"/>
    <w:rsid w:val="009E30BF"/>
    <w:rsid w:val="009E3700"/>
    <w:rsid w:val="009E5BE3"/>
    <w:rsid w:val="009E7B16"/>
    <w:rsid w:val="009F5039"/>
    <w:rsid w:val="009F76F6"/>
    <w:rsid w:val="009F7CD0"/>
    <w:rsid w:val="00A005D6"/>
    <w:rsid w:val="00A01D64"/>
    <w:rsid w:val="00A10D9F"/>
    <w:rsid w:val="00A13727"/>
    <w:rsid w:val="00A22713"/>
    <w:rsid w:val="00A27F05"/>
    <w:rsid w:val="00A3007F"/>
    <w:rsid w:val="00A300E3"/>
    <w:rsid w:val="00A32370"/>
    <w:rsid w:val="00A33B78"/>
    <w:rsid w:val="00A46744"/>
    <w:rsid w:val="00A5026B"/>
    <w:rsid w:val="00A620CD"/>
    <w:rsid w:val="00A67639"/>
    <w:rsid w:val="00A86E36"/>
    <w:rsid w:val="00A9040D"/>
    <w:rsid w:val="00A919DB"/>
    <w:rsid w:val="00A925E5"/>
    <w:rsid w:val="00A96E54"/>
    <w:rsid w:val="00AA006D"/>
    <w:rsid w:val="00AA767E"/>
    <w:rsid w:val="00AB285E"/>
    <w:rsid w:val="00AB5225"/>
    <w:rsid w:val="00AC4326"/>
    <w:rsid w:val="00AC4A99"/>
    <w:rsid w:val="00AC7693"/>
    <w:rsid w:val="00AC7D0D"/>
    <w:rsid w:val="00AD1316"/>
    <w:rsid w:val="00AE49E2"/>
    <w:rsid w:val="00AF2EC9"/>
    <w:rsid w:val="00B00263"/>
    <w:rsid w:val="00B07D42"/>
    <w:rsid w:val="00B1027C"/>
    <w:rsid w:val="00B15979"/>
    <w:rsid w:val="00B22641"/>
    <w:rsid w:val="00B23FA7"/>
    <w:rsid w:val="00B24E9C"/>
    <w:rsid w:val="00B32780"/>
    <w:rsid w:val="00B354EB"/>
    <w:rsid w:val="00B40BA9"/>
    <w:rsid w:val="00B41BF2"/>
    <w:rsid w:val="00B42AD8"/>
    <w:rsid w:val="00B47532"/>
    <w:rsid w:val="00B5105B"/>
    <w:rsid w:val="00B6224C"/>
    <w:rsid w:val="00B653D1"/>
    <w:rsid w:val="00B65DE4"/>
    <w:rsid w:val="00B67522"/>
    <w:rsid w:val="00B772D3"/>
    <w:rsid w:val="00B81A6A"/>
    <w:rsid w:val="00B81D37"/>
    <w:rsid w:val="00B84A69"/>
    <w:rsid w:val="00B86075"/>
    <w:rsid w:val="00B9139B"/>
    <w:rsid w:val="00B91C10"/>
    <w:rsid w:val="00BA0458"/>
    <w:rsid w:val="00BB34C9"/>
    <w:rsid w:val="00BC2609"/>
    <w:rsid w:val="00BD1F15"/>
    <w:rsid w:val="00BD2A4E"/>
    <w:rsid w:val="00BD4841"/>
    <w:rsid w:val="00BD53EC"/>
    <w:rsid w:val="00BD79B6"/>
    <w:rsid w:val="00BF5A3D"/>
    <w:rsid w:val="00BF6E14"/>
    <w:rsid w:val="00C001AC"/>
    <w:rsid w:val="00C02026"/>
    <w:rsid w:val="00C029B0"/>
    <w:rsid w:val="00C048D6"/>
    <w:rsid w:val="00C148F6"/>
    <w:rsid w:val="00C21357"/>
    <w:rsid w:val="00C268EE"/>
    <w:rsid w:val="00C26B1F"/>
    <w:rsid w:val="00C34B92"/>
    <w:rsid w:val="00C36A91"/>
    <w:rsid w:val="00C409AB"/>
    <w:rsid w:val="00C40A2E"/>
    <w:rsid w:val="00C418B7"/>
    <w:rsid w:val="00C53F84"/>
    <w:rsid w:val="00C6584D"/>
    <w:rsid w:val="00C87974"/>
    <w:rsid w:val="00CA4224"/>
    <w:rsid w:val="00CA6011"/>
    <w:rsid w:val="00CB5429"/>
    <w:rsid w:val="00CB5A73"/>
    <w:rsid w:val="00CC1FAB"/>
    <w:rsid w:val="00CC428F"/>
    <w:rsid w:val="00CE0882"/>
    <w:rsid w:val="00CF00AE"/>
    <w:rsid w:val="00D01406"/>
    <w:rsid w:val="00D03809"/>
    <w:rsid w:val="00D146FC"/>
    <w:rsid w:val="00D14CB0"/>
    <w:rsid w:val="00D155BD"/>
    <w:rsid w:val="00D24667"/>
    <w:rsid w:val="00D33298"/>
    <w:rsid w:val="00D33653"/>
    <w:rsid w:val="00D33BFB"/>
    <w:rsid w:val="00D33DBC"/>
    <w:rsid w:val="00D4083F"/>
    <w:rsid w:val="00D41C2D"/>
    <w:rsid w:val="00D42CAE"/>
    <w:rsid w:val="00D505B8"/>
    <w:rsid w:val="00D50B26"/>
    <w:rsid w:val="00D612D6"/>
    <w:rsid w:val="00D75DC7"/>
    <w:rsid w:val="00D81DE2"/>
    <w:rsid w:val="00D87007"/>
    <w:rsid w:val="00D92676"/>
    <w:rsid w:val="00D93D33"/>
    <w:rsid w:val="00D95E34"/>
    <w:rsid w:val="00DC65F3"/>
    <w:rsid w:val="00DD48B7"/>
    <w:rsid w:val="00DD6D44"/>
    <w:rsid w:val="00DD7747"/>
    <w:rsid w:val="00DD7DD6"/>
    <w:rsid w:val="00DE15B5"/>
    <w:rsid w:val="00DE3DAA"/>
    <w:rsid w:val="00DE5CDC"/>
    <w:rsid w:val="00E067CD"/>
    <w:rsid w:val="00E122DD"/>
    <w:rsid w:val="00E14555"/>
    <w:rsid w:val="00E14C4E"/>
    <w:rsid w:val="00E3271E"/>
    <w:rsid w:val="00E4217D"/>
    <w:rsid w:val="00E44D13"/>
    <w:rsid w:val="00E62E73"/>
    <w:rsid w:val="00E6701F"/>
    <w:rsid w:val="00E70C28"/>
    <w:rsid w:val="00E74681"/>
    <w:rsid w:val="00E817EC"/>
    <w:rsid w:val="00E83F35"/>
    <w:rsid w:val="00E872AF"/>
    <w:rsid w:val="00E878EA"/>
    <w:rsid w:val="00EA4CB6"/>
    <w:rsid w:val="00EB2127"/>
    <w:rsid w:val="00EB3254"/>
    <w:rsid w:val="00ED1CE7"/>
    <w:rsid w:val="00ED6F94"/>
    <w:rsid w:val="00EE08F4"/>
    <w:rsid w:val="00EE37EC"/>
    <w:rsid w:val="00EE396B"/>
    <w:rsid w:val="00EF05E6"/>
    <w:rsid w:val="00EF39D1"/>
    <w:rsid w:val="00EF61FF"/>
    <w:rsid w:val="00EF6BB1"/>
    <w:rsid w:val="00F02464"/>
    <w:rsid w:val="00F14773"/>
    <w:rsid w:val="00F17B2A"/>
    <w:rsid w:val="00F34418"/>
    <w:rsid w:val="00F3764E"/>
    <w:rsid w:val="00F41807"/>
    <w:rsid w:val="00F46E15"/>
    <w:rsid w:val="00F53863"/>
    <w:rsid w:val="00F578A0"/>
    <w:rsid w:val="00F6026A"/>
    <w:rsid w:val="00F60ACE"/>
    <w:rsid w:val="00F65968"/>
    <w:rsid w:val="00F6726F"/>
    <w:rsid w:val="00F7327F"/>
    <w:rsid w:val="00F75D22"/>
    <w:rsid w:val="00F75E18"/>
    <w:rsid w:val="00F77B91"/>
    <w:rsid w:val="00F91308"/>
    <w:rsid w:val="00FB03F4"/>
    <w:rsid w:val="00FB4468"/>
    <w:rsid w:val="00FB693D"/>
    <w:rsid w:val="00FC1A6D"/>
    <w:rsid w:val="00FC33FF"/>
    <w:rsid w:val="00FC7B58"/>
    <w:rsid w:val="00FD4BF1"/>
    <w:rsid w:val="00FE034D"/>
    <w:rsid w:val="00FE1F60"/>
    <w:rsid w:val="00FE3B09"/>
    <w:rsid w:val="00FF7898"/>
    <w:rsid w:val="01A9283E"/>
    <w:rsid w:val="02B1652C"/>
    <w:rsid w:val="02DF74F8"/>
    <w:rsid w:val="037A2E6E"/>
    <w:rsid w:val="05BC67C6"/>
    <w:rsid w:val="05E905EE"/>
    <w:rsid w:val="062A2218"/>
    <w:rsid w:val="07FE882E"/>
    <w:rsid w:val="091DEFBC"/>
    <w:rsid w:val="0AAA16B5"/>
    <w:rsid w:val="0ABCD5F4"/>
    <w:rsid w:val="0AF397C0"/>
    <w:rsid w:val="0C9A84EE"/>
    <w:rsid w:val="0DF6001A"/>
    <w:rsid w:val="0E0D0F73"/>
    <w:rsid w:val="0E2A1525"/>
    <w:rsid w:val="0E2C34A1"/>
    <w:rsid w:val="0F014413"/>
    <w:rsid w:val="0F99B152"/>
    <w:rsid w:val="0FC5E586"/>
    <w:rsid w:val="1111465B"/>
    <w:rsid w:val="12FD8648"/>
    <w:rsid w:val="13903123"/>
    <w:rsid w:val="1460A263"/>
    <w:rsid w:val="149B7625"/>
    <w:rsid w:val="15924BFC"/>
    <w:rsid w:val="1660B833"/>
    <w:rsid w:val="16C18AF8"/>
    <w:rsid w:val="17AC77DD"/>
    <w:rsid w:val="186CAC05"/>
    <w:rsid w:val="18BFC9D9"/>
    <w:rsid w:val="1A143C00"/>
    <w:rsid w:val="1AC75451"/>
    <w:rsid w:val="1C5447BB"/>
    <w:rsid w:val="1C8B4031"/>
    <w:rsid w:val="1CB71959"/>
    <w:rsid w:val="1E41B1B4"/>
    <w:rsid w:val="1EC83AE1"/>
    <w:rsid w:val="1EECC3B9"/>
    <w:rsid w:val="1F84F817"/>
    <w:rsid w:val="2127B8DE"/>
    <w:rsid w:val="21417ABF"/>
    <w:rsid w:val="215EB154"/>
    <w:rsid w:val="223B2DB4"/>
    <w:rsid w:val="23167F5F"/>
    <w:rsid w:val="23B59062"/>
    <w:rsid w:val="23F06424"/>
    <w:rsid w:val="24079099"/>
    <w:rsid w:val="24AA5675"/>
    <w:rsid w:val="25125A33"/>
    <w:rsid w:val="2533D8AB"/>
    <w:rsid w:val="25F5DFF8"/>
    <w:rsid w:val="260685BB"/>
    <w:rsid w:val="2733BF3E"/>
    <w:rsid w:val="289663AC"/>
    <w:rsid w:val="28B4DD5A"/>
    <w:rsid w:val="2A2DC28C"/>
    <w:rsid w:val="2A91DCB8"/>
    <w:rsid w:val="2B6A635B"/>
    <w:rsid w:val="2BC29251"/>
    <w:rsid w:val="2BD13B0E"/>
    <w:rsid w:val="2DD16372"/>
    <w:rsid w:val="2FFE47F2"/>
    <w:rsid w:val="307440FA"/>
    <w:rsid w:val="309DA811"/>
    <w:rsid w:val="30CEE72C"/>
    <w:rsid w:val="30D4E70C"/>
    <w:rsid w:val="31E80553"/>
    <w:rsid w:val="323A8845"/>
    <w:rsid w:val="325EA7B5"/>
    <w:rsid w:val="3271E031"/>
    <w:rsid w:val="328B8108"/>
    <w:rsid w:val="328F9DAF"/>
    <w:rsid w:val="3319AA00"/>
    <w:rsid w:val="33AF659C"/>
    <w:rsid w:val="3400EC06"/>
    <w:rsid w:val="340A37B7"/>
    <w:rsid w:val="352815CE"/>
    <w:rsid w:val="356F7213"/>
    <w:rsid w:val="35964877"/>
    <w:rsid w:val="35E0AC34"/>
    <w:rsid w:val="35E1F902"/>
    <w:rsid w:val="35EFEC5F"/>
    <w:rsid w:val="36F3F427"/>
    <w:rsid w:val="37F12A95"/>
    <w:rsid w:val="37F7EC42"/>
    <w:rsid w:val="38D87695"/>
    <w:rsid w:val="396EAF1E"/>
    <w:rsid w:val="3987D489"/>
    <w:rsid w:val="3A3CD6B3"/>
    <w:rsid w:val="3A42E336"/>
    <w:rsid w:val="3A7DB6F8"/>
    <w:rsid w:val="3B2034C0"/>
    <w:rsid w:val="3B241AE7"/>
    <w:rsid w:val="3C93D88F"/>
    <w:rsid w:val="3D060140"/>
    <w:rsid w:val="3D620A2D"/>
    <w:rsid w:val="3D91E9DF"/>
    <w:rsid w:val="3E44E1CF"/>
    <w:rsid w:val="3E50498C"/>
    <w:rsid w:val="3FA4701C"/>
    <w:rsid w:val="408E28F8"/>
    <w:rsid w:val="40CD5608"/>
    <w:rsid w:val="41DECDC9"/>
    <w:rsid w:val="428F9881"/>
    <w:rsid w:val="42E8BB1B"/>
    <w:rsid w:val="434FCF04"/>
    <w:rsid w:val="43B1F146"/>
    <w:rsid w:val="43C40CC6"/>
    <w:rsid w:val="440A42EC"/>
    <w:rsid w:val="4485C217"/>
    <w:rsid w:val="44B51E00"/>
    <w:rsid w:val="45316356"/>
    <w:rsid w:val="45394CC8"/>
    <w:rsid w:val="45A64523"/>
    <w:rsid w:val="45CB514C"/>
    <w:rsid w:val="46BCFB0C"/>
    <w:rsid w:val="4718D6A8"/>
    <w:rsid w:val="47FEB7C8"/>
    <w:rsid w:val="4AE49F14"/>
    <w:rsid w:val="4B6C87B2"/>
    <w:rsid w:val="4BE82F16"/>
    <w:rsid w:val="4C17F0C2"/>
    <w:rsid w:val="4D236E16"/>
    <w:rsid w:val="4DC5EBDE"/>
    <w:rsid w:val="4E6DF94C"/>
    <w:rsid w:val="4E84B58D"/>
    <w:rsid w:val="4F134FC6"/>
    <w:rsid w:val="4F88ADA8"/>
    <w:rsid w:val="4FB5924A"/>
    <w:rsid w:val="503FF8D5"/>
    <w:rsid w:val="50C603B1"/>
    <w:rsid w:val="517E9C6C"/>
    <w:rsid w:val="51DBC936"/>
    <w:rsid w:val="53779997"/>
    <w:rsid w:val="53CF69D6"/>
    <w:rsid w:val="542A9158"/>
    <w:rsid w:val="5497183F"/>
    <w:rsid w:val="568A4AC0"/>
    <w:rsid w:val="56B127FF"/>
    <w:rsid w:val="574695B3"/>
    <w:rsid w:val="5753A5C7"/>
    <w:rsid w:val="5789A319"/>
    <w:rsid w:val="57C1E38E"/>
    <w:rsid w:val="57F8FC41"/>
    <w:rsid w:val="581CC918"/>
    <w:rsid w:val="5891EFFA"/>
    <w:rsid w:val="58B67C45"/>
    <w:rsid w:val="58CECC47"/>
    <w:rsid w:val="59E8C8C1"/>
    <w:rsid w:val="5AC88E56"/>
    <w:rsid w:val="5AFDAEA3"/>
    <w:rsid w:val="5B4135CA"/>
    <w:rsid w:val="5B8279A6"/>
    <w:rsid w:val="5BC0FA43"/>
    <w:rsid w:val="5CDD062B"/>
    <w:rsid w:val="5D206983"/>
    <w:rsid w:val="5F1FCABE"/>
    <w:rsid w:val="5F3DE128"/>
    <w:rsid w:val="5FF0B53B"/>
    <w:rsid w:val="60040E26"/>
    <w:rsid w:val="603DE5C9"/>
    <w:rsid w:val="605B1136"/>
    <w:rsid w:val="608AEB21"/>
    <w:rsid w:val="61175D02"/>
    <w:rsid w:val="61FB0685"/>
    <w:rsid w:val="623D857E"/>
    <w:rsid w:val="62AC75CA"/>
    <w:rsid w:val="62D02B85"/>
    <w:rsid w:val="6330A7EC"/>
    <w:rsid w:val="634C47AF"/>
    <w:rsid w:val="64D77F49"/>
    <w:rsid w:val="64E76B93"/>
    <w:rsid w:val="65D4DE72"/>
    <w:rsid w:val="662221C3"/>
    <w:rsid w:val="67196F0E"/>
    <w:rsid w:val="6772BDCE"/>
    <w:rsid w:val="6936C1E9"/>
    <w:rsid w:val="69D9B456"/>
    <w:rsid w:val="6AF2CC5C"/>
    <w:rsid w:val="6CE429B1"/>
    <w:rsid w:val="6DEA96BD"/>
    <w:rsid w:val="6E6B2AE3"/>
    <w:rsid w:val="6EB019D6"/>
    <w:rsid w:val="6F722482"/>
    <w:rsid w:val="704BEA37"/>
    <w:rsid w:val="70A0CC5A"/>
    <w:rsid w:val="70D7446E"/>
    <w:rsid w:val="71E7BA98"/>
    <w:rsid w:val="73014B8F"/>
    <w:rsid w:val="73672521"/>
    <w:rsid w:val="736A58FF"/>
    <w:rsid w:val="73A93368"/>
    <w:rsid w:val="73CCF451"/>
    <w:rsid w:val="73CCFAFF"/>
    <w:rsid w:val="73FFC422"/>
    <w:rsid w:val="750210AB"/>
    <w:rsid w:val="7590ADB8"/>
    <w:rsid w:val="75D131D9"/>
    <w:rsid w:val="75D2E223"/>
    <w:rsid w:val="764583F3"/>
    <w:rsid w:val="7653FC87"/>
    <w:rsid w:val="7752DEE1"/>
    <w:rsid w:val="779CC250"/>
    <w:rsid w:val="782D315B"/>
    <w:rsid w:val="78DAC0B9"/>
    <w:rsid w:val="7A2D472B"/>
    <w:rsid w:val="7AA65346"/>
    <w:rsid w:val="7BC9178C"/>
    <w:rsid w:val="7C917B2C"/>
    <w:rsid w:val="7D1E2B44"/>
    <w:rsid w:val="7D35E69A"/>
    <w:rsid w:val="7DD50B5E"/>
    <w:rsid w:val="7DDDF408"/>
    <w:rsid w:val="7F1EDEDF"/>
    <w:rsid w:val="7F79C469"/>
    <w:rsid w:val="7FDCB5B7"/>
    <w:rsid w:val="7FDCE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90A5"/>
  <w15:docId w15:val="{61154266-04DE-4C88-ADDD-0307E75E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FC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5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4A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">
    <w:name w:val="lead"/>
    <w:basedOn w:val="Normalny"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13ECA"/>
    <w:rPr>
      <w:i/>
      <w:iCs/>
    </w:rPr>
  </w:style>
  <w:style w:type="character" w:styleId="Pogrubienie">
    <w:name w:val="Strong"/>
    <w:basedOn w:val="Domylnaczcionkaakapitu"/>
    <w:uiPriority w:val="22"/>
    <w:qFormat/>
    <w:rsid w:val="00613E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CAB"/>
  </w:style>
  <w:style w:type="paragraph" w:styleId="Stopka">
    <w:name w:val="footer"/>
    <w:basedOn w:val="Normalny"/>
    <w:link w:val="Stopka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CAB"/>
  </w:style>
  <w:style w:type="character" w:customStyle="1" w:styleId="Nagwek2Znak">
    <w:name w:val="Nagłówek 2 Znak"/>
    <w:basedOn w:val="Domylnaczcionkaakapitu"/>
    <w:link w:val="Nagwek2"/>
    <w:uiPriority w:val="9"/>
    <w:rsid w:val="00D15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1D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1D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D3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A77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67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B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B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B2B"/>
    <w:rPr>
      <w:vertAlign w:val="superscript"/>
    </w:rPr>
  </w:style>
  <w:style w:type="paragraph" w:styleId="Poprawka">
    <w:name w:val="Revision"/>
    <w:hidden/>
    <w:uiPriority w:val="99"/>
    <w:semiHidden/>
    <w:rsid w:val="0037065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2C3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4326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3689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4A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4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7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0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3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2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86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737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1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9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0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56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1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0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7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3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8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3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7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6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15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158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1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29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72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4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45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88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ws.ambest.com/presscontent.aspx?refnum=32795&amp;altsrc=2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c48825-be6d-4cbe-988e-6d60c582e6f9" xsi:nil="true"/>
    <lcf76f155ced4ddcb4097134ff3c332f xmlns="1c5c887c-e5cf-4dba-9adb-cae334bc49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98222B8A11468422A48CB94D634E" ma:contentTypeVersion="13" ma:contentTypeDescription="Create a new document." ma:contentTypeScope="" ma:versionID="f5755f0046521456c73d0e55ace03c3d">
  <xsd:schema xmlns:xsd="http://www.w3.org/2001/XMLSchema" xmlns:xs="http://www.w3.org/2001/XMLSchema" xmlns:p="http://schemas.microsoft.com/office/2006/metadata/properties" xmlns:ns2="1c5c887c-e5cf-4dba-9adb-cae334bc4904" xmlns:ns3="d4c48825-be6d-4cbe-988e-6d60c582e6f9" targetNamespace="http://schemas.microsoft.com/office/2006/metadata/properties" ma:root="true" ma:fieldsID="cae27ac3a1d17805e5cb48fb17e4f6cd" ns2:_="" ns3:_="">
    <xsd:import namespace="1c5c887c-e5cf-4dba-9adb-cae334bc4904"/>
    <xsd:import namespace="d4c48825-be6d-4cbe-988e-6d60c582e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887c-e5cf-4dba-9adb-cae334bc4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78c5277-8e4d-44a8-8372-42b7fd254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48825-be6d-4cbe-988e-6d60c582e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e96b45-7951-4052-a182-eabc78e69eed}" ma:internalName="TaxCatchAll" ma:showField="CatchAllData" ma:web="d4c48825-be6d-4cbe-988e-6d60c582e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2A9E4-BB20-4C92-AA8E-732A6A1830C9}">
  <ds:schemaRefs>
    <ds:schemaRef ds:uri="http://schemas.microsoft.com/office/2006/metadata/properties"/>
    <ds:schemaRef ds:uri="http://schemas.microsoft.com/office/infopath/2007/PartnerControls"/>
    <ds:schemaRef ds:uri="d4c48825-be6d-4cbe-988e-6d60c582e6f9"/>
    <ds:schemaRef ds:uri="1c5c887c-e5cf-4dba-9adb-cae334bc4904"/>
  </ds:schemaRefs>
</ds:datastoreItem>
</file>

<file path=customXml/itemProps2.xml><?xml version="1.0" encoding="utf-8"?>
<ds:datastoreItem xmlns:ds="http://schemas.openxmlformats.org/officeDocument/2006/customXml" ds:itemID="{3A3A42E5-D4A6-4769-8FD1-8DCCCAB31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18924-F8D1-4179-827D-4B07DA2AB5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1BCE34-4345-44FB-A525-C36B19C89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887c-e5cf-4dba-9adb-cae334bc4904"/>
    <ds:schemaRef ds:uri="d4c48825-be6d-4cbe-988e-6d60c582e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894</Words>
  <Characters>5367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Dejmek | CORE PR</dc:creator>
  <cp:lastModifiedBy>aneta filipczak</cp:lastModifiedBy>
  <cp:revision>4</cp:revision>
  <cp:lastPrinted>2021-08-17T13:49:00Z</cp:lastPrinted>
  <dcterms:created xsi:type="dcterms:W3CDTF">2025-07-14T12:33:00Z</dcterms:created>
  <dcterms:modified xsi:type="dcterms:W3CDTF">2025-07-14T12:36:00Z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0x010100D44B98222B8A11468422A48CB94D634E</vt:lpwstr>
  </property>
  <property fmtid="{D5CDD505-2E9C-101B-9397-08002B2CF9AE}" pid="3" name="MediaServiceImageTags">
    <vt:lpwstr/>
  </property>
</Properties>
</file>