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5EA8" w14:textId="6EFD7020" w:rsidR="00270855" w:rsidRPr="00270855" w:rsidRDefault="00270855" w:rsidP="00270855">
      <w:pPr>
        <w:shd w:val="clear" w:color="auto" w:fill="FFFFFF"/>
        <w:spacing w:after="0" w:line="360" w:lineRule="auto"/>
        <w:jc w:val="both"/>
        <w:rPr>
          <w:rFonts w:ascii="IBM Plex Sans" w:eastAsia="Times New Roman" w:hAnsi="IBM Plex Sans" w:cs="Arial"/>
          <w:color w:val="7F7F7F" w:themeColor="text1" w:themeTint="80"/>
          <w:sz w:val="40"/>
          <w:szCs w:val="40"/>
          <w:lang w:eastAsia="pl-PL"/>
        </w:rPr>
      </w:pPr>
      <w:r w:rsidRPr="002D4181">
        <w:rPr>
          <w:rFonts w:ascii="IBM Plex Sans" w:eastAsia="Times New Roman" w:hAnsi="IBM Plex Sans" w:cs="Arial"/>
          <w:color w:val="7F7F7F" w:themeColor="text1" w:themeTint="80"/>
          <w:sz w:val="40"/>
          <w:szCs w:val="40"/>
          <w:lang w:eastAsia="pl-PL"/>
        </w:rPr>
        <w:t>MATERIAŁ PRASOWY</w:t>
      </w:r>
    </w:p>
    <w:p w14:paraId="260EE2A5" w14:textId="77777777" w:rsidR="00270855" w:rsidRDefault="00270855" w:rsidP="003E0EFB">
      <w:pPr>
        <w:rPr>
          <w:b/>
          <w:bCs/>
          <w:color w:val="000000" w:themeColor="text1"/>
        </w:rPr>
      </w:pPr>
    </w:p>
    <w:p w14:paraId="07275A74" w14:textId="77777777" w:rsidR="00AB52E0" w:rsidRDefault="00AB52E0" w:rsidP="00592309">
      <w:pPr>
        <w:shd w:val="clear" w:color="auto" w:fill="FFFFFF"/>
        <w:spacing w:before="100" w:beforeAutospacing="1" w:after="100" w:afterAutospacing="1" w:line="240" w:lineRule="auto"/>
        <w:rPr>
          <w:rFonts w:ascii="Calibri" w:hAnsi="Calibri" w:cs="Calibri"/>
          <w:b/>
          <w:bCs/>
          <w:color w:val="000000" w:themeColor="text1"/>
          <w:sz w:val="28"/>
          <w:szCs w:val="28"/>
        </w:rPr>
      </w:pPr>
      <w:r w:rsidRPr="00AB52E0">
        <w:rPr>
          <w:rFonts w:ascii="Calibri" w:hAnsi="Calibri" w:cs="Calibri"/>
          <w:b/>
          <w:bCs/>
          <w:color w:val="000000" w:themeColor="text1"/>
          <w:sz w:val="28"/>
          <w:szCs w:val="28"/>
        </w:rPr>
        <w:t>Bezpieczeństwo projektów i odpowiedzialność zawodowa architektów i inżynierów – rola ubezpieczenia OC</w:t>
      </w:r>
    </w:p>
    <w:p w14:paraId="48E5EBF0" w14:textId="55F063DE" w:rsid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b/>
          <w:bCs/>
          <w:sz w:val="24"/>
          <w:szCs w:val="24"/>
        </w:rPr>
        <w:t>„Rosną nowe bloki i nie ma wypadków” – śpiewał pod koniec lat 90. zespół T-Love. Minęło prawie 30 lat od premiery piosenki „Jest super”, a krajobraz polskich miast wciąż się zmienia. Nowe osiedla powstają w błyskawicznym tempie, puste przestrzenie wypełniają się budynkami, a popyt na nieruchomości napędza rozwój gospodarczy. Za wszystkim stoi jednak skomplikowany proces budowlany, wymagający zaangażowania wielu specjalistów z odpowiednimi uprawnieniami.</w:t>
      </w:r>
    </w:p>
    <w:p w14:paraId="7EF0B68C" w14:textId="6B1DE1CF" w:rsidR="00AB52E0" w:rsidRP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b/>
          <w:bCs/>
          <w:sz w:val="24"/>
          <w:szCs w:val="24"/>
        </w:rPr>
        <w:t>Samodzielne funkcje techniczne w budownictwie</w:t>
      </w:r>
    </w:p>
    <w:p w14:paraId="3799368C" w14:textId="645EB827" w:rsidR="00AB52E0" w:rsidRPr="00AB52E0" w:rsidRDefault="00AB52E0" w:rsidP="00AB52E0">
      <w:pPr>
        <w:shd w:val="clear" w:color="auto" w:fill="FFFFFF"/>
        <w:spacing w:before="100" w:beforeAutospacing="1" w:after="100" w:afterAutospacing="1" w:line="240" w:lineRule="auto"/>
        <w:rPr>
          <w:rFonts w:ascii="Calibri" w:hAnsi="Calibri" w:cs="Calibri"/>
          <w:sz w:val="24"/>
          <w:szCs w:val="24"/>
        </w:rPr>
      </w:pPr>
      <w:r w:rsidRPr="00AB52E0">
        <w:rPr>
          <w:rFonts w:ascii="Calibri" w:hAnsi="Calibri" w:cs="Calibri"/>
          <w:sz w:val="24"/>
          <w:szCs w:val="24"/>
        </w:rPr>
        <w:t xml:space="preserve">Prawo budowlane wprost definiuje samodzielne funkcje techniczne w budownictwie jako działalność, która wymaga fachowej oceny zjawisk lub rozwiązywania zagadnień architektonicznych, technicznych i organizacyjnych. Do takich funkcji należy </w:t>
      </w:r>
      <w:r w:rsidRPr="003607EE">
        <w:rPr>
          <w:rFonts w:ascii="Calibri" w:hAnsi="Calibri" w:cs="Calibri"/>
          <w:b/>
          <w:sz w:val="24"/>
          <w:szCs w:val="24"/>
        </w:rPr>
        <w:t>projektowanie, weryfikacja projektów architektoniczno-budowlanych i technicznych, a także sprawowanie nadzoru autorskiego</w:t>
      </w:r>
      <w:r w:rsidRPr="00AB52E0">
        <w:rPr>
          <w:rFonts w:ascii="Calibri" w:hAnsi="Calibri" w:cs="Calibri"/>
          <w:sz w:val="24"/>
          <w:szCs w:val="24"/>
        </w:rPr>
        <w:t>. Osoby wykonujące te zadania muszą posiadać odpowiednie wykształcenie, praktykę oraz zdać egzaminy, a ich odpowiedzialność zawodowa jest ściśle określona w ustawie.</w:t>
      </w:r>
    </w:p>
    <w:p w14:paraId="3980B023" w14:textId="77777777" w:rsid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b/>
          <w:bCs/>
          <w:sz w:val="24"/>
          <w:szCs w:val="24"/>
        </w:rPr>
        <w:t>Odpowiedzialność zawodowa projektanta</w:t>
      </w:r>
    </w:p>
    <w:p w14:paraId="0BCE62F8" w14:textId="18135A6C" w:rsidR="00AB52E0" w:rsidRP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sz w:val="24"/>
          <w:szCs w:val="24"/>
        </w:rPr>
        <w:t xml:space="preserve">Projektanci mogą ponosić </w:t>
      </w:r>
      <w:r w:rsidRPr="003607EE">
        <w:rPr>
          <w:rFonts w:ascii="Calibri" w:hAnsi="Calibri" w:cs="Calibri"/>
          <w:b/>
          <w:sz w:val="24"/>
          <w:szCs w:val="24"/>
        </w:rPr>
        <w:t>odpowiedzialność zawodową za niewłaściwe wykonanie lub niewykonanie obowiązków, odpowiedzialność karną wynikającą z prawa budowlanego oraz odpowiedzialność cywilną, która może być przedmiotem ubezpieczenia</w:t>
      </w:r>
      <w:r w:rsidRPr="00AB52E0">
        <w:rPr>
          <w:rFonts w:ascii="Calibri" w:hAnsi="Calibri" w:cs="Calibri"/>
          <w:sz w:val="24"/>
          <w:szCs w:val="24"/>
        </w:rPr>
        <w:t>. W praktyce oznacza to, że nawet najlepiej przygotowany projekt może wiązać się z ryzykiem finansowym – np. w przypadku szkód spowodowanych błędami w dokumentacji technicznej.</w:t>
      </w:r>
    </w:p>
    <w:p w14:paraId="705E9683" w14:textId="77777777" w:rsid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b/>
          <w:bCs/>
          <w:sz w:val="24"/>
          <w:szCs w:val="24"/>
        </w:rPr>
        <w:t>Obowiązkowe i pełne ubezpieczenie OC</w:t>
      </w:r>
    </w:p>
    <w:p w14:paraId="07B769DD" w14:textId="20732950" w:rsidR="00AB52E0" w:rsidRP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sz w:val="24"/>
          <w:szCs w:val="24"/>
        </w:rPr>
        <w:t>Ustawodawca przewidział obowiązek ubezpieczenia dla architektów i inżynierów budownictwa będących członkami izb zawodowych. Niestety, ponad 20 lat po wprowadzeniu odpowiednich przepisów</w:t>
      </w:r>
      <w:r w:rsidR="00B4721A">
        <w:rPr>
          <w:rFonts w:ascii="Calibri" w:hAnsi="Calibri" w:cs="Calibri"/>
          <w:sz w:val="24"/>
          <w:szCs w:val="24"/>
        </w:rPr>
        <w:t xml:space="preserve"> (rozporządzenie pochodzi z 2003 r.)</w:t>
      </w:r>
      <w:r w:rsidRPr="00AB52E0">
        <w:rPr>
          <w:rFonts w:ascii="Calibri" w:hAnsi="Calibri" w:cs="Calibri"/>
          <w:sz w:val="24"/>
          <w:szCs w:val="24"/>
        </w:rPr>
        <w:t>, minimalna suma gwarancyjna – 50 000 euro – często nie odpowiada wartości współczesnych projektów. Ponadto ubezpieczenie obowiązkowe nie obejmuje wszystkich ryzyk</w:t>
      </w:r>
      <w:r w:rsidR="00293E4D">
        <w:rPr>
          <w:rFonts w:ascii="Calibri" w:hAnsi="Calibri" w:cs="Calibri"/>
          <w:sz w:val="24"/>
          <w:szCs w:val="24"/>
        </w:rPr>
        <w:t xml:space="preserve"> i</w:t>
      </w:r>
      <w:r w:rsidRPr="00AB52E0">
        <w:rPr>
          <w:rFonts w:ascii="Calibri" w:hAnsi="Calibri" w:cs="Calibri"/>
          <w:sz w:val="24"/>
          <w:szCs w:val="24"/>
        </w:rPr>
        <w:t xml:space="preserve"> zawiera wyłączenia, co sprawia, że kluczowe staje się znalezienie odpowiedniej ochrony – szerokiej pod kątem rodzaju szkód oraz optymalnej pod względem sumy gwarancyjnej.</w:t>
      </w:r>
    </w:p>
    <w:p w14:paraId="01C41504" w14:textId="77777777" w:rsidR="00AB52E0" w:rsidRP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b/>
          <w:bCs/>
          <w:sz w:val="24"/>
          <w:szCs w:val="24"/>
        </w:rPr>
        <w:t>Na co zwrócić uwagę przy wyborze ubezpieczenia</w:t>
      </w:r>
    </w:p>
    <w:p w14:paraId="2264E561" w14:textId="3D861B84" w:rsidR="00AB52E0" w:rsidRPr="00AB52E0" w:rsidRDefault="00AB52E0" w:rsidP="00AB52E0">
      <w:pPr>
        <w:shd w:val="clear" w:color="auto" w:fill="FFFFFF"/>
        <w:spacing w:before="100" w:beforeAutospacing="1" w:after="100" w:afterAutospacing="1" w:line="240" w:lineRule="auto"/>
        <w:rPr>
          <w:rFonts w:ascii="Calibri" w:hAnsi="Calibri" w:cs="Calibri"/>
          <w:sz w:val="24"/>
          <w:szCs w:val="24"/>
        </w:rPr>
      </w:pPr>
      <w:r w:rsidRPr="00AB52E0">
        <w:rPr>
          <w:rFonts w:ascii="Calibri" w:hAnsi="Calibri" w:cs="Calibri"/>
          <w:sz w:val="24"/>
          <w:szCs w:val="24"/>
        </w:rPr>
        <w:lastRenderedPageBreak/>
        <w:t xml:space="preserve">Przy wyborze ubezpieczenia OC warto uwzględnić m.in. zakres wykonywanych czynności (projektowanie czy nadzór autorski), rodzaj realizowanych projektów (budownictwo mieszkalne, drogi, infrastruktura), geografię inwestycji (Polska, UE, inne kraje), ich skalę finansową oraz strukturę biura architektonicznego – liczbę i doświadczenie pracowników z uprawnieniami budowlanymi, </w:t>
      </w:r>
      <w:r w:rsidR="004E6F9C">
        <w:rPr>
          <w:rFonts w:ascii="Calibri" w:hAnsi="Calibri" w:cs="Calibri"/>
          <w:sz w:val="24"/>
          <w:szCs w:val="24"/>
        </w:rPr>
        <w:t>wykorzystanie</w:t>
      </w:r>
      <w:r w:rsidR="004E6F9C" w:rsidRPr="00AB52E0">
        <w:rPr>
          <w:rFonts w:ascii="Calibri" w:hAnsi="Calibri" w:cs="Calibri"/>
          <w:sz w:val="24"/>
          <w:szCs w:val="24"/>
        </w:rPr>
        <w:t xml:space="preserve"> </w:t>
      </w:r>
      <w:r w:rsidRPr="00AB52E0">
        <w:rPr>
          <w:rFonts w:ascii="Calibri" w:hAnsi="Calibri" w:cs="Calibri"/>
          <w:sz w:val="24"/>
          <w:szCs w:val="24"/>
        </w:rPr>
        <w:t>podwykonawcó</w:t>
      </w:r>
      <w:r w:rsidR="003607EE">
        <w:rPr>
          <w:rFonts w:ascii="Calibri" w:hAnsi="Calibri" w:cs="Calibri"/>
          <w:sz w:val="24"/>
          <w:szCs w:val="24"/>
        </w:rPr>
        <w:t>w</w:t>
      </w:r>
      <w:r w:rsidRPr="00AB52E0">
        <w:rPr>
          <w:rFonts w:ascii="Calibri" w:hAnsi="Calibri" w:cs="Calibri"/>
          <w:sz w:val="24"/>
          <w:szCs w:val="24"/>
        </w:rPr>
        <w:t>. Historia firmy – wcześniejsze szkody, roszczenia czy postępowania dyscyplinarne – również wpływa na ocenę ryzyka przez ubezpieczyciela.</w:t>
      </w:r>
    </w:p>
    <w:p w14:paraId="46282B49" w14:textId="77777777" w:rsidR="00AB52E0" w:rsidRP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b/>
          <w:bCs/>
          <w:sz w:val="24"/>
          <w:szCs w:val="24"/>
        </w:rPr>
        <w:t>Proces zawarcia umowy ubezpieczenia</w:t>
      </w:r>
    </w:p>
    <w:p w14:paraId="172A89BC" w14:textId="31ACABD9" w:rsidR="00AB52E0" w:rsidRPr="00AB52E0" w:rsidRDefault="00AB52E0" w:rsidP="00AB52E0">
      <w:pPr>
        <w:shd w:val="clear" w:color="auto" w:fill="FFFFFF"/>
        <w:spacing w:before="100" w:beforeAutospacing="1" w:after="100" w:afterAutospacing="1" w:line="240" w:lineRule="auto"/>
        <w:rPr>
          <w:rFonts w:ascii="Calibri" w:hAnsi="Calibri" w:cs="Calibri"/>
          <w:sz w:val="24"/>
          <w:szCs w:val="24"/>
        </w:rPr>
      </w:pPr>
      <w:r w:rsidRPr="00AB52E0">
        <w:rPr>
          <w:rFonts w:ascii="Calibri" w:hAnsi="Calibri" w:cs="Calibri"/>
          <w:sz w:val="24"/>
          <w:szCs w:val="24"/>
        </w:rPr>
        <w:t xml:space="preserve">Choć może się wydawać, że zawarcie umowy ubezpieczenia odpowiedzialności cywilnej architekta jest </w:t>
      </w:r>
      <w:r w:rsidR="003D273F" w:rsidRPr="00AB52E0">
        <w:rPr>
          <w:rFonts w:ascii="Calibri" w:hAnsi="Calibri" w:cs="Calibri"/>
          <w:sz w:val="24"/>
          <w:szCs w:val="24"/>
        </w:rPr>
        <w:t>skomplikowan</w:t>
      </w:r>
      <w:r w:rsidR="003D273F">
        <w:rPr>
          <w:rFonts w:ascii="Calibri" w:hAnsi="Calibri" w:cs="Calibri"/>
          <w:sz w:val="24"/>
          <w:szCs w:val="24"/>
        </w:rPr>
        <w:t>e</w:t>
      </w:r>
      <w:r w:rsidR="003D273F" w:rsidRPr="00AB52E0">
        <w:rPr>
          <w:rFonts w:ascii="Calibri" w:hAnsi="Calibri" w:cs="Calibri"/>
          <w:sz w:val="24"/>
          <w:szCs w:val="24"/>
        </w:rPr>
        <w:t xml:space="preserve"> </w:t>
      </w:r>
      <w:r w:rsidRPr="00AB52E0">
        <w:rPr>
          <w:rFonts w:ascii="Calibri" w:hAnsi="Calibri" w:cs="Calibri"/>
          <w:sz w:val="24"/>
          <w:szCs w:val="24"/>
        </w:rPr>
        <w:t xml:space="preserve">i </w:t>
      </w:r>
      <w:r w:rsidR="003D273F" w:rsidRPr="00AB52E0">
        <w:rPr>
          <w:rFonts w:ascii="Calibri" w:hAnsi="Calibri" w:cs="Calibri"/>
          <w:sz w:val="24"/>
          <w:szCs w:val="24"/>
        </w:rPr>
        <w:t>czasochłonn</w:t>
      </w:r>
      <w:r w:rsidR="003D273F">
        <w:rPr>
          <w:rFonts w:ascii="Calibri" w:hAnsi="Calibri" w:cs="Calibri"/>
          <w:sz w:val="24"/>
          <w:szCs w:val="24"/>
        </w:rPr>
        <w:t>e</w:t>
      </w:r>
      <w:r w:rsidRPr="00AB52E0">
        <w:rPr>
          <w:rFonts w:ascii="Calibri" w:hAnsi="Calibri" w:cs="Calibri"/>
          <w:sz w:val="24"/>
          <w:szCs w:val="24"/>
        </w:rPr>
        <w:t>, w praktyce jest to w dużej mierze proces ustrukturyzowany. Pytania ubezpieczycieli przybierają formę kwestionariusza, a na rynku dostępni są doświadczeni pośrednicy, którzy pomagają w optymalnym dopasowaniu ochrony do potrzeb klienta.</w:t>
      </w:r>
    </w:p>
    <w:p w14:paraId="04C9E73C" w14:textId="77777777" w:rsidR="00AB52E0" w:rsidRPr="00AB52E0" w:rsidRDefault="00AB52E0" w:rsidP="00AB52E0">
      <w:pPr>
        <w:shd w:val="clear" w:color="auto" w:fill="FFFFFF"/>
        <w:spacing w:before="100" w:beforeAutospacing="1" w:after="100" w:afterAutospacing="1" w:line="240" w:lineRule="auto"/>
        <w:rPr>
          <w:rFonts w:ascii="Calibri" w:hAnsi="Calibri" w:cs="Calibri"/>
          <w:b/>
          <w:bCs/>
          <w:sz w:val="24"/>
          <w:szCs w:val="24"/>
        </w:rPr>
      </w:pPr>
      <w:r w:rsidRPr="00AB52E0">
        <w:rPr>
          <w:rFonts w:ascii="Calibri" w:hAnsi="Calibri" w:cs="Calibri"/>
          <w:b/>
          <w:bCs/>
          <w:sz w:val="24"/>
          <w:szCs w:val="24"/>
        </w:rPr>
        <w:t>Ubezpieczenie jako gwarancja bezpieczeństwa finansowego</w:t>
      </w:r>
    </w:p>
    <w:p w14:paraId="3E76D661" w14:textId="3E5B205B" w:rsidR="00AB52E0" w:rsidRDefault="00AB52E0" w:rsidP="00AB52E0">
      <w:pPr>
        <w:shd w:val="clear" w:color="auto" w:fill="FFFFFF"/>
        <w:spacing w:before="100" w:beforeAutospacing="1" w:after="100" w:afterAutospacing="1" w:line="240" w:lineRule="auto"/>
        <w:rPr>
          <w:rFonts w:ascii="Calibri" w:hAnsi="Calibri" w:cs="Calibri"/>
          <w:sz w:val="24"/>
          <w:szCs w:val="24"/>
        </w:rPr>
      </w:pPr>
      <w:r w:rsidRPr="00AB52E0">
        <w:rPr>
          <w:rFonts w:ascii="Calibri" w:hAnsi="Calibri" w:cs="Calibri"/>
          <w:sz w:val="24"/>
          <w:szCs w:val="24"/>
        </w:rPr>
        <w:t xml:space="preserve">Ubezpieczenie OC architekta i inżyniera to nie tylko obowiązek formalny, ale przede wszystkim gwarancja bezpieczeństwa finansowego – zarówno dla profesjonalisty, jak i dla inwestora. </w:t>
      </w:r>
      <w:r w:rsidR="00EA186C">
        <w:rPr>
          <w:rFonts w:ascii="Calibri" w:hAnsi="Calibri" w:cs="Calibri"/>
          <w:sz w:val="24"/>
          <w:szCs w:val="24"/>
        </w:rPr>
        <w:t>Colonnade oferuje s</w:t>
      </w:r>
      <w:r w:rsidRPr="00AB52E0">
        <w:rPr>
          <w:rFonts w:ascii="Calibri" w:hAnsi="Calibri" w:cs="Calibri"/>
          <w:sz w:val="24"/>
          <w:szCs w:val="24"/>
        </w:rPr>
        <w:t xml:space="preserve">pecjalistyczne wsparcie w doborze ochrony ubezpieczeniowej, pomagając dopasować polisę do zakresu wykonywanych czynności, wartości projektów i specyfiki biura. </w:t>
      </w:r>
    </w:p>
    <w:p w14:paraId="58AFCBEB" w14:textId="6611D682" w:rsidR="006624EC" w:rsidRPr="003607EE" w:rsidRDefault="006624EC" w:rsidP="006624EC">
      <w:pPr>
        <w:shd w:val="clear" w:color="auto" w:fill="FFFFFF"/>
        <w:spacing w:before="100" w:beforeAutospacing="1" w:after="100" w:afterAutospacing="1" w:line="240" w:lineRule="auto"/>
        <w:rPr>
          <w:rFonts w:ascii="Calibri" w:hAnsi="Calibri" w:cs="Calibri"/>
          <w:b/>
          <w:bCs/>
          <w:sz w:val="24"/>
          <w:szCs w:val="24"/>
          <w:lang w:val="en-US"/>
        </w:rPr>
      </w:pPr>
      <w:r w:rsidRPr="003607EE">
        <w:rPr>
          <w:rFonts w:ascii="Calibri" w:hAnsi="Calibri" w:cs="Calibri"/>
          <w:b/>
          <w:bCs/>
          <w:sz w:val="24"/>
          <w:szCs w:val="24"/>
          <w:lang w:val="en-US"/>
        </w:rPr>
        <w:t xml:space="preserve">Autorką </w:t>
      </w:r>
      <w:r>
        <w:rPr>
          <w:rFonts w:ascii="Calibri" w:hAnsi="Calibri" w:cs="Calibri"/>
          <w:b/>
          <w:bCs/>
          <w:sz w:val="24"/>
          <w:szCs w:val="24"/>
          <w:lang w:val="en-US"/>
        </w:rPr>
        <w:t>artykułu</w:t>
      </w:r>
      <w:r w:rsidRPr="003607EE">
        <w:rPr>
          <w:rFonts w:ascii="Calibri" w:hAnsi="Calibri" w:cs="Calibri"/>
          <w:b/>
          <w:bCs/>
          <w:sz w:val="24"/>
          <w:szCs w:val="24"/>
          <w:lang w:val="en-US"/>
        </w:rPr>
        <w:t xml:space="preserve"> jest: </w:t>
      </w:r>
      <w:r w:rsidRPr="003607EE">
        <w:rPr>
          <w:rFonts w:ascii="Calibri" w:hAnsi="Calibri" w:cs="Calibri"/>
          <w:b/>
          <w:bCs/>
          <w:i/>
          <w:iCs/>
          <w:sz w:val="24"/>
          <w:szCs w:val="24"/>
          <w:lang w:val="en-US"/>
        </w:rPr>
        <w:t>dr Diana Bożek, Cross-Country Commercial Business Director, Colonnade</w:t>
      </w:r>
    </w:p>
    <w:p w14:paraId="6EFD2F0D" w14:textId="6B2ED587" w:rsidR="006624EC" w:rsidRPr="003607EE" w:rsidRDefault="006624EC" w:rsidP="00AB52E0">
      <w:pPr>
        <w:shd w:val="clear" w:color="auto" w:fill="FFFFFF"/>
        <w:spacing w:before="100" w:beforeAutospacing="1" w:after="100" w:afterAutospacing="1" w:line="240" w:lineRule="auto"/>
        <w:rPr>
          <w:rFonts w:ascii="Calibri" w:hAnsi="Calibri" w:cs="Calibri"/>
          <w:sz w:val="24"/>
          <w:szCs w:val="24"/>
          <w:lang w:val="en-US"/>
        </w:rPr>
      </w:pPr>
    </w:p>
    <w:p w14:paraId="387656F0" w14:textId="77777777" w:rsidR="00AB52E0" w:rsidRPr="003607EE" w:rsidRDefault="00AB52E0" w:rsidP="00AB52E0">
      <w:pPr>
        <w:shd w:val="clear" w:color="auto" w:fill="FFFFFF"/>
        <w:spacing w:before="100" w:beforeAutospacing="1" w:after="100" w:afterAutospacing="1" w:line="240" w:lineRule="auto"/>
        <w:rPr>
          <w:lang w:val="en-US"/>
        </w:rPr>
      </w:pPr>
    </w:p>
    <w:p w14:paraId="21555719" w14:textId="77777777" w:rsidR="00270855" w:rsidRPr="002D4181" w:rsidRDefault="00270855" w:rsidP="00270855">
      <w:pPr>
        <w:shd w:val="clear" w:color="auto" w:fill="FFFFFF"/>
        <w:spacing w:before="100" w:beforeAutospacing="1" w:after="100" w:afterAutospacing="1" w:line="240" w:lineRule="auto"/>
        <w:jc w:val="center"/>
        <w:rPr>
          <w:rFonts w:ascii="Calibri" w:eastAsia="Times New Roman" w:hAnsi="Calibri" w:cs="Calibri"/>
          <w:color w:val="3A3A3A" w:themeColor="background2" w:themeShade="40"/>
          <w:sz w:val="20"/>
          <w:szCs w:val="20"/>
          <w:lang w:eastAsia="pl-PL"/>
        </w:rPr>
      </w:pPr>
      <w:r w:rsidRPr="002D4181">
        <w:rPr>
          <w:rFonts w:ascii="Calibri" w:eastAsia="Times New Roman" w:hAnsi="Calibri" w:cs="Calibri"/>
          <w:color w:val="3A3A3A" w:themeColor="background2" w:themeShade="40"/>
          <w:sz w:val="20"/>
          <w:szCs w:val="20"/>
          <w:lang w:eastAsia="pl-PL"/>
        </w:rPr>
        <w:t>***</w:t>
      </w:r>
    </w:p>
    <w:p w14:paraId="61FB1BA4" w14:textId="77777777" w:rsidR="00270855" w:rsidRPr="002D4181" w:rsidRDefault="00270855" w:rsidP="00270855">
      <w:pPr>
        <w:pStyle w:val="Heading2"/>
        <w:spacing w:line="240" w:lineRule="auto"/>
        <w:rPr>
          <w:rFonts w:ascii="Calibri" w:eastAsia="Times New Roman" w:hAnsi="Calibri" w:cs="Calibri"/>
          <w:sz w:val="40"/>
          <w:lang w:eastAsia="pl-PL"/>
        </w:rPr>
      </w:pPr>
      <w:r w:rsidRPr="002D4181">
        <w:rPr>
          <w:rFonts w:ascii="Calibri" w:eastAsia="Times New Roman" w:hAnsi="Calibri" w:cs="Calibri"/>
          <w:sz w:val="40"/>
          <w:lang w:eastAsia="pl-PL"/>
        </w:rPr>
        <w:t>Kontakt dla mediów</w:t>
      </w:r>
    </w:p>
    <w:p w14:paraId="7960604E" w14:textId="77777777" w:rsidR="00270855" w:rsidRPr="002D4181" w:rsidRDefault="00270855" w:rsidP="00270855">
      <w:pPr>
        <w:shd w:val="clear" w:color="auto" w:fill="FFFFFF"/>
        <w:spacing w:after="0" w:line="240" w:lineRule="auto"/>
        <w:rPr>
          <w:rFonts w:ascii="Calibri" w:eastAsia="Times New Roman" w:hAnsi="Calibri" w:cs="Calibri"/>
          <w:color w:val="3A3A3A" w:themeColor="background2" w:themeShade="40"/>
          <w:sz w:val="20"/>
          <w:szCs w:val="20"/>
          <w:lang w:eastAsia="pl-PL"/>
        </w:rPr>
      </w:pPr>
    </w:p>
    <w:p w14:paraId="015B889A" w14:textId="77777777" w:rsidR="00270855" w:rsidRPr="002D4181" w:rsidRDefault="00270855" w:rsidP="00270855">
      <w:pPr>
        <w:shd w:val="clear" w:color="auto" w:fill="FFFFFF"/>
        <w:spacing w:after="0" w:line="240" w:lineRule="auto"/>
        <w:rPr>
          <w:rFonts w:ascii="Calibri" w:eastAsia="Times New Roman" w:hAnsi="Calibri" w:cs="Calibri"/>
          <w:color w:val="3A3A3A" w:themeColor="background2" w:themeShade="40"/>
          <w:szCs w:val="20"/>
          <w:lang w:eastAsia="pl-PL"/>
        </w:rPr>
      </w:pPr>
      <w:r>
        <w:rPr>
          <w:rFonts w:ascii="Calibri" w:eastAsia="Times New Roman" w:hAnsi="Calibri" w:cs="Calibri"/>
          <w:color w:val="3A3A3A" w:themeColor="background2" w:themeShade="40"/>
          <w:szCs w:val="20"/>
          <w:lang w:eastAsia="pl-PL"/>
        </w:rPr>
        <w:t>Aneta Filipczak</w:t>
      </w:r>
    </w:p>
    <w:p w14:paraId="2F941D97" w14:textId="77777777" w:rsidR="00270855" w:rsidRPr="002D4181" w:rsidRDefault="00270855" w:rsidP="00270855">
      <w:pPr>
        <w:shd w:val="clear" w:color="auto" w:fill="FFFFFF"/>
        <w:spacing w:after="0" w:line="240" w:lineRule="auto"/>
        <w:rPr>
          <w:rFonts w:ascii="Calibri" w:eastAsia="Times New Roman" w:hAnsi="Calibri" w:cs="Calibri"/>
          <w:color w:val="3A3A3A" w:themeColor="background2" w:themeShade="40"/>
          <w:szCs w:val="20"/>
          <w:lang w:eastAsia="pl-PL"/>
        </w:rPr>
      </w:pPr>
      <w:hyperlink r:id="rId10" w:history="1">
        <w:r w:rsidRPr="00191445">
          <w:rPr>
            <w:rStyle w:val="Hyperlink"/>
            <w:rFonts w:ascii="Calibri" w:eastAsia="Times New Roman" w:hAnsi="Calibri" w:cs="Calibri"/>
            <w:szCs w:val="20"/>
            <w:lang w:eastAsia="pl-PL"/>
          </w:rPr>
          <w:t>aneta.filipczak@corepr.pl</w:t>
        </w:r>
      </w:hyperlink>
    </w:p>
    <w:p w14:paraId="603FF2AF" w14:textId="77777777" w:rsidR="00270855" w:rsidRDefault="00270855" w:rsidP="00270855">
      <w:pPr>
        <w:shd w:val="clear" w:color="auto" w:fill="FFFFFF"/>
        <w:spacing w:after="0" w:line="240" w:lineRule="auto"/>
        <w:rPr>
          <w:rFonts w:ascii="Calibri" w:eastAsia="Times New Roman" w:hAnsi="Calibri" w:cs="Calibri"/>
          <w:color w:val="3A3A3A" w:themeColor="background2" w:themeShade="40"/>
          <w:szCs w:val="20"/>
          <w:lang w:eastAsia="pl-PL"/>
        </w:rPr>
      </w:pPr>
      <w:r w:rsidRPr="002D4181">
        <w:rPr>
          <w:rFonts w:ascii="Calibri" w:eastAsia="Times New Roman" w:hAnsi="Calibri" w:cs="Calibri"/>
          <w:color w:val="3A3A3A" w:themeColor="background2" w:themeShade="40"/>
          <w:szCs w:val="20"/>
          <w:lang w:eastAsia="pl-PL"/>
        </w:rPr>
        <w:t xml:space="preserve">tel. </w:t>
      </w:r>
      <w:r w:rsidRPr="00B83D1C">
        <w:rPr>
          <w:rFonts w:ascii="Calibri" w:eastAsia="Times New Roman" w:hAnsi="Calibri" w:cs="Calibri"/>
          <w:color w:val="3A3A3A" w:themeColor="background2" w:themeShade="40"/>
          <w:szCs w:val="20"/>
          <w:lang w:eastAsia="pl-PL"/>
        </w:rPr>
        <w:t>+48 530 979</w:t>
      </w:r>
      <w:r>
        <w:rPr>
          <w:rFonts w:ascii="Calibri" w:eastAsia="Times New Roman" w:hAnsi="Calibri" w:cs="Calibri"/>
          <w:color w:val="3A3A3A" w:themeColor="background2" w:themeShade="40"/>
          <w:szCs w:val="20"/>
          <w:lang w:eastAsia="pl-PL"/>
        </w:rPr>
        <w:t> </w:t>
      </w:r>
      <w:r w:rsidRPr="00B83D1C">
        <w:rPr>
          <w:rFonts w:ascii="Calibri" w:eastAsia="Times New Roman" w:hAnsi="Calibri" w:cs="Calibri"/>
          <w:color w:val="3A3A3A" w:themeColor="background2" w:themeShade="40"/>
          <w:szCs w:val="20"/>
          <w:lang w:eastAsia="pl-PL"/>
        </w:rPr>
        <w:t>039</w:t>
      </w:r>
    </w:p>
    <w:p w14:paraId="104E1E33" w14:textId="77777777" w:rsidR="00270855" w:rsidRPr="002D4181" w:rsidRDefault="00270855" w:rsidP="00270855">
      <w:pPr>
        <w:shd w:val="clear" w:color="auto" w:fill="FFFFFF"/>
        <w:spacing w:after="0" w:line="240" w:lineRule="auto"/>
        <w:rPr>
          <w:rFonts w:ascii="Calibri" w:eastAsia="Times New Roman" w:hAnsi="Calibri" w:cs="Calibri"/>
          <w:color w:val="3A3A3A" w:themeColor="background2" w:themeShade="40"/>
          <w:szCs w:val="20"/>
          <w:lang w:eastAsia="pl-PL"/>
        </w:rPr>
      </w:pPr>
    </w:p>
    <w:p w14:paraId="1FE934A4" w14:textId="77777777" w:rsidR="00270855" w:rsidRPr="00E83F35" w:rsidRDefault="00270855" w:rsidP="00270855">
      <w:pPr>
        <w:shd w:val="clear" w:color="auto" w:fill="FFFFFF"/>
        <w:spacing w:after="0" w:line="360" w:lineRule="auto"/>
        <w:jc w:val="both"/>
        <w:rPr>
          <w:rFonts w:ascii="Calibri" w:eastAsia="Times New Roman" w:hAnsi="Calibri" w:cs="Calibri"/>
          <w:b/>
          <w:bCs/>
          <w:color w:val="7F7F7F" w:themeColor="text1" w:themeTint="80"/>
          <w:sz w:val="16"/>
          <w:szCs w:val="20"/>
          <w:lang w:eastAsia="pl-PL"/>
        </w:rPr>
      </w:pPr>
      <w:r w:rsidRPr="002D4181">
        <w:rPr>
          <w:rFonts w:ascii="Calibri" w:eastAsia="Times New Roman" w:hAnsi="Calibri" w:cs="Calibri"/>
          <w:b/>
          <w:bCs/>
          <w:color w:val="7F7F7F" w:themeColor="text1" w:themeTint="80"/>
          <w:sz w:val="16"/>
          <w:szCs w:val="20"/>
          <w:lang w:eastAsia="pl-PL"/>
        </w:rPr>
        <w:t xml:space="preserve">Colonnade Insurance S.A. jest spółką ubezpieczeń majątkowych i osobowych (non-life) zarejestrowaną w Luksemburgu, należącą do grupy Fairfax i utworzoną w celu strategicznego rozszerzenia działalności ubezpieczeniowej Fairfax w Europie Środkowej i Wschodniej. Posiada licencję na oferowanie 17 z 18 ustawowych grup ubezpieczeń majątkowych i osobowych (z wyjątkiem grupy 10 – OC posiadaczy pojazdów mechanicznych). Uprawnia do prowadzenia działalności we wszystkich krajach członkowskich UE w ramach swobody świadczenia usług. Działalność Colonnade wspierają wiodący światowi reasekuratorzy o najsilniejszej pozycji finansowej, między innymi Swiss Re, Hanover Re, Munich Re, BRIT, AWAC, syndykat Lloyd's, AIG. Firma powadzi działalność przez oddziały w Bułgarii, Czechach, na Węgrzech, w Rumunii, Polsce, Słowacji oraz przez spółkę w Ukrainie, korzystając z pomocy zespołu ponad 600 doświadczonych specjalistów. Oferuje produkty dla </w:t>
      </w:r>
      <w:r w:rsidRPr="002D4181">
        <w:rPr>
          <w:rFonts w:ascii="Calibri" w:eastAsia="Times New Roman" w:hAnsi="Calibri" w:cs="Calibri"/>
          <w:b/>
          <w:bCs/>
          <w:color w:val="7F7F7F" w:themeColor="text1" w:themeTint="80"/>
          <w:sz w:val="16"/>
          <w:szCs w:val="20"/>
          <w:lang w:eastAsia="pl-PL"/>
        </w:rPr>
        <w:lastRenderedPageBreak/>
        <w:t xml:space="preserve">klientów indywidualnych i korporacyjnych i od 2017 r. lat </w:t>
      </w:r>
      <w:hyperlink r:id="rId11" w:history="1">
        <w:r w:rsidRPr="002D4181">
          <w:rPr>
            <w:rStyle w:val="Hyperlink"/>
            <w:rFonts w:ascii="Calibri" w:eastAsia="Times New Roman" w:hAnsi="Calibri" w:cs="Calibri"/>
            <w:b/>
            <w:bCs/>
            <w:sz w:val="16"/>
            <w:szCs w:val="20"/>
            <w:lang w:eastAsia="pl-PL"/>
          </w:rPr>
          <w:t>posiada rating A- nadany przez AM Best</w:t>
        </w:r>
      </w:hyperlink>
      <w:r w:rsidRPr="002D4181">
        <w:rPr>
          <w:rFonts w:ascii="Calibri" w:eastAsia="Times New Roman" w:hAnsi="Calibri" w:cs="Calibri"/>
          <w:b/>
          <w:bCs/>
          <w:color w:val="7F7F7F" w:themeColor="text1" w:themeTint="80"/>
          <w:sz w:val="16"/>
          <w:szCs w:val="20"/>
          <w:lang w:eastAsia="pl-PL"/>
        </w:rPr>
        <w:t>. Kapitał zakładowy wynosi 9 500 000 EUR.</w:t>
      </w:r>
    </w:p>
    <w:p w14:paraId="50952E33" w14:textId="77777777" w:rsidR="00270855" w:rsidRPr="002C6404" w:rsidRDefault="00270855" w:rsidP="00270855">
      <w:pPr>
        <w:shd w:val="clear" w:color="auto" w:fill="FFFFFF"/>
        <w:spacing w:before="100" w:beforeAutospacing="1" w:after="100" w:afterAutospacing="1" w:line="276" w:lineRule="auto"/>
        <w:contextualSpacing/>
        <w:jc w:val="both"/>
        <w:rPr>
          <w:rFonts w:ascii="IBM Plex Sans" w:eastAsia="Times New Roman" w:hAnsi="IBM Plex Sans" w:cs="Arial"/>
          <w:bCs/>
          <w:color w:val="7F7F7F" w:themeColor="text1" w:themeTint="80"/>
          <w:sz w:val="14"/>
          <w:szCs w:val="20"/>
          <w:lang w:eastAsia="pl-PL"/>
        </w:rPr>
      </w:pPr>
    </w:p>
    <w:p w14:paraId="295DBDE3" w14:textId="77777777" w:rsidR="00270855" w:rsidRPr="009375EF" w:rsidRDefault="00270855" w:rsidP="00431973">
      <w:pPr>
        <w:spacing w:before="240" w:after="240"/>
        <w:rPr>
          <w:color w:val="000000" w:themeColor="text1"/>
        </w:rPr>
      </w:pPr>
    </w:p>
    <w:sectPr w:rsidR="00270855" w:rsidRPr="009375EF">
      <w:headerReference w:type="default" r:id="rId12"/>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D636C" w14:textId="77777777" w:rsidR="00D77FFD" w:rsidRDefault="00D77FFD" w:rsidP="008C04ED">
      <w:pPr>
        <w:spacing w:after="0" w:line="240" w:lineRule="auto"/>
      </w:pPr>
      <w:r>
        <w:separator/>
      </w:r>
    </w:p>
  </w:endnote>
  <w:endnote w:type="continuationSeparator" w:id="0">
    <w:p w14:paraId="795361FB" w14:textId="77777777" w:rsidR="00D77FFD" w:rsidRDefault="00D77FFD" w:rsidP="008C04ED">
      <w:pPr>
        <w:spacing w:after="0" w:line="240" w:lineRule="auto"/>
      </w:pPr>
      <w:r>
        <w:continuationSeparator/>
      </w:r>
    </w:p>
  </w:endnote>
  <w:endnote w:type="continuationNotice" w:id="1">
    <w:p w14:paraId="2C9C5F46" w14:textId="77777777" w:rsidR="00D77FFD" w:rsidRDefault="00D77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IBM Plex Sans">
    <w:altName w:val="Arial"/>
    <w:charset w:val="00"/>
    <w:family w:val="swiss"/>
    <w:pitch w:val="variable"/>
    <w:sig w:usb0="A00002EF" w:usb1="5000207B" w:usb2="00000000" w:usb3="00000000" w:csb0="0000019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5EA1" w14:textId="692F1764" w:rsidR="008C04ED" w:rsidRDefault="008C04ED">
    <w:pPr>
      <w:pStyle w:val="Footer"/>
    </w:pPr>
    <w:r>
      <w:rPr>
        <w:noProof/>
        <w:lang w:eastAsia="pl-PL"/>
      </w:rPr>
      <mc:AlternateContent>
        <mc:Choice Requires="wps">
          <w:drawing>
            <wp:anchor distT="0" distB="0" distL="0" distR="0" simplePos="0" relativeHeight="251658241" behindDoc="0" locked="0" layoutInCell="1" allowOverlap="1" wp14:anchorId="4EA14ACB" wp14:editId="178F2F8F">
              <wp:simplePos x="635" y="635"/>
              <wp:positionH relativeFrom="page">
                <wp:align>center</wp:align>
              </wp:positionH>
              <wp:positionV relativeFrom="page">
                <wp:align>bottom</wp:align>
              </wp:positionV>
              <wp:extent cx="1181100" cy="342900"/>
              <wp:effectExtent l="0" t="0" r="0" b="0"/>
              <wp:wrapNone/>
              <wp:docPr id="1930377410" name="Pole tekstowe 2" descr="Colonnad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1100" cy="342900"/>
                      </a:xfrm>
                      <a:prstGeom prst="rect">
                        <a:avLst/>
                      </a:prstGeom>
                      <a:noFill/>
                      <a:ln>
                        <a:noFill/>
                      </a:ln>
                    </wps:spPr>
                    <wps:txbx>
                      <w:txbxContent>
                        <w:p w14:paraId="4020EEC9" w14:textId="4A757826" w:rsidR="008C04ED" w:rsidRPr="008C04ED" w:rsidRDefault="008C04ED" w:rsidP="008C04ED">
                          <w:pPr>
                            <w:spacing w:after="0"/>
                            <w:rPr>
                              <w:rFonts w:ascii="Calibri" w:eastAsia="Calibri" w:hAnsi="Calibri" w:cs="Calibri"/>
                              <w:noProof/>
                              <w:color w:val="000000"/>
                              <w:sz w:val="20"/>
                              <w:szCs w:val="20"/>
                            </w:rPr>
                          </w:pPr>
                          <w:r w:rsidRPr="008C04ED">
                            <w:rPr>
                              <w:rFonts w:ascii="Calibri" w:eastAsia="Calibri" w:hAnsi="Calibri" w:cs="Calibri"/>
                              <w:noProof/>
                              <w:color w:val="000000"/>
                              <w:sz w:val="20"/>
                              <w:szCs w:val="20"/>
                            </w:rPr>
                            <w:t>Colonnade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14ACB" id="_x0000_t202" coordsize="21600,21600" o:spt="202" path="m,l,21600r21600,l21600,xe">
              <v:stroke joinstyle="miter"/>
              <v:path gradientshapeok="t" o:connecttype="rect"/>
            </v:shapetype>
            <v:shape id="Pole tekstowe 2" o:spid="_x0000_s1026" type="#_x0000_t202" alt="Colonnade Confidential" style="position:absolute;margin-left:0;margin-top:0;width:93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" filled="f" stroked="f">
              <v:textbox style="mso-fit-shape-to-text:t" inset="0,0,0,15pt">
                <w:txbxContent>
                  <w:p w14:paraId="4020EEC9" w14:textId="4A757826" w:rsidR="008C04ED" w:rsidRPr="008C04ED" w:rsidRDefault="008C04ED" w:rsidP="008C04ED">
                    <w:pPr>
                      <w:spacing w:after="0"/>
                      <w:rPr>
                        <w:rFonts w:ascii="Calibri" w:eastAsia="Calibri" w:hAnsi="Calibri" w:cs="Calibri"/>
                        <w:noProof/>
                        <w:color w:val="000000"/>
                        <w:sz w:val="20"/>
                        <w:szCs w:val="20"/>
                      </w:rPr>
                    </w:pPr>
                    <w:r w:rsidRPr="008C04ED">
                      <w:rPr>
                        <w:rFonts w:ascii="Calibri" w:eastAsia="Calibri" w:hAnsi="Calibri" w:cs="Calibri"/>
                        <w:noProof/>
                        <w:color w:val="000000"/>
                        <w:sz w:val="20"/>
                        <w:szCs w:val="20"/>
                      </w:rPr>
                      <w:t>Colonnade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DA9C" w14:textId="515F1F0A" w:rsidR="008C04ED" w:rsidRDefault="008C04ED">
    <w:pPr>
      <w:pStyle w:val="Footer"/>
    </w:pPr>
    <w:r>
      <w:rPr>
        <w:noProof/>
        <w:lang w:eastAsia="pl-PL"/>
      </w:rPr>
      <mc:AlternateContent>
        <mc:Choice Requires="wps">
          <w:drawing>
            <wp:anchor distT="0" distB="0" distL="0" distR="0" simplePos="0" relativeHeight="251658242" behindDoc="0" locked="0" layoutInCell="1" allowOverlap="1" wp14:anchorId="4936A610" wp14:editId="0633210D">
              <wp:simplePos x="635" y="635"/>
              <wp:positionH relativeFrom="page">
                <wp:align>center</wp:align>
              </wp:positionH>
              <wp:positionV relativeFrom="page">
                <wp:align>bottom</wp:align>
              </wp:positionV>
              <wp:extent cx="1181100" cy="342900"/>
              <wp:effectExtent l="0" t="0" r="0" b="0"/>
              <wp:wrapNone/>
              <wp:docPr id="204075860" name="Pole tekstowe 3" descr="Colonnad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1100" cy="342900"/>
                      </a:xfrm>
                      <a:prstGeom prst="rect">
                        <a:avLst/>
                      </a:prstGeom>
                      <a:noFill/>
                      <a:ln>
                        <a:noFill/>
                      </a:ln>
                    </wps:spPr>
                    <wps:txbx>
                      <w:txbxContent>
                        <w:p w14:paraId="385FEBEB" w14:textId="52EA6BB7" w:rsidR="008C04ED" w:rsidRPr="008C04ED" w:rsidRDefault="008C04ED" w:rsidP="008C04ED">
                          <w:pPr>
                            <w:spacing w:after="0"/>
                            <w:rPr>
                              <w:rFonts w:ascii="Calibri" w:eastAsia="Calibri" w:hAnsi="Calibri" w:cs="Calibri"/>
                              <w:noProof/>
                              <w:color w:val="000000"/>
                              <w:sz w:val="20"/>
                              <w:szCs w:val="20"/>
                            </w:rPr>
                          </w:pPr>
                          <w:r w:rsidRPr="008C04ED">
                            <w:rPr>
                              <w:rFonts w:ascii="Calibri" w:eastAsia="Calibri" w:hAnsi="Calibri" w:cs="Calibri"/>
                              <w:noProof/>
                              <w:color w:val="000000"/>
                              <w:sz w:val="20"/>
                              <w:szCs w:val="20"/>
                            </w:rPr>
                            <w:t>Colonnade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6A610" id="_x0000_t202" coordsize="21600,21600" o:spt="202" path="m,l,21600r21600,l21600,xe">
              <v:stroke joinstyle="miter"/>
              <v:path gradientshapeok="t" o:connecttype="rect"/>
            </v:shapetype>
            <v:shape id="Pole tekstowe 3" o:spid="_x0000_s1027" type="#_x0000_t202" alt="Colonnade Confidential" style="position:absolute;margin-left:0;margin-top:0;width:93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" filled="f" stroked="f">
              <v:textbox style="mso-fit-shape-to-text:t" inset="0,0,0,15pt">
                <w:txbxContent>
                  <w:p w14:paraId="385FEBEB" w14:textId="52EA6BB7" w:rsidR="008C04ED" w:rsidRPr="008C04ED" w:rsidRDefault="008C04ED" w:rsidP="008C04ED">
                    <w:pPr>
                      <w:spacing w:after="0"/>
                      <w:rPr>
                        <w:rFonts w:ascii="Calibri" w:eastAsia="Calibri" w:hAnsi="Calibri" w:cs="Calibri"/>
                        <w:noProof/>
                        <w:color w:val="000000"/>
                        <w:sz w:val="20"/>
                        <w:szCs w:val="20"/>
                      </w:rPr>
                    </w:pPr>
                    <w:r w:rsidRPr="008C04ED">
                      <w:rPr>
                        <w:rFonts w:ascii="Calibri" w:eastAsia="Calibri" w:hAnsi="Calibri" w:cs="Calibri"/>
                        <w:noProof/>
                        <w:color w:val="000000"/>
                        <w:sz w:val="20"/>
                        <w:szCs w:val="20"/>
                      </w:rPr>
                      <w:t>Colonnade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BC4F" w14:textId="26FBD506" w:rsidR="008C04ED" w:rsidRDefault="008C04ED">
    <w:pPr>
      <w:pStyle w:val="Footer"/>
    </w:pPr>
    <w:r>
      <w:rPr>
        <w:noProof/>
        <w:lang w:eastAsia="pl-PL"/>
      </w:rPr>
      <mc:AlternateContent>
        <mc:Choice Requires="wps">
          <w:drawing>
            <wp:anchor distT="0" distB="0" distL="0" distR="0" simplePos="0" relativeHeight="251658240" behindDoc="0" locked="0" layoutInCell="1" allowOverlap="1" wp14:anchorId="262803F3" wp14:editId="242ACAF0">
              <wp:simplePos x="635" y="635"/>
              <wp:positionH relativeFrom="page">
                <wp:align>center</wp:align>
              </wp:positionH>
              <wp:positionV relativeFrom="page">
                <wp:align>bottom</wp:align>
              </wp:positionV>
              <wp:extent cx="1181100" cy="342900"/>
              <wp:effectExtent l="0" t="0" r="0" b="0"/>
              <wp:wrapNone/>
              <wp:docPr id="2076787242" name="Pole tekstowe 1" descr="Colonnad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1100" cy="342900"/>
                      </a:xfrm>
                      <a:prstGeom prst="rect">
                        <a:avLst/>
                      </a:prstGeom>
                      <a:noFill/>
                      <a:ln>
                        <a:noFill/>
                      </a:ln>
                    </wps:spPr>
                    <wps:txbx>
                      <w:txbxContent>
                        <w:p w14:paraId="62373A06" w14:textId="7BB9DB9B" w:rsidR="008C04ED" w:rsidRPr="008C04ED" w:rsidRDefault="008C04ED" w:rsidP="008C04ED">
                          <w:pPr>
                            <w:spacing w:after="0"/>
                            <w:rPr>
                              <w:rFonts w:ascii="Calibri" w:eastAsia="Calibri" w:hAnsi="Calibri" w:cs="Calibri"/>
                              <w:noProof/>
                              <w:color w:val="000000"/>
                              <w:sz w:val="20"/>
                              <w:szCs w:val="20"/>
                            </w:rPr>
                          </w:pPr>
                          <w:r w:rsidRPr="008C04ED">
                            <w:rPr>
                              <w:rFonts w:ascii="Calibri" w:eastAsia="Calibri" w:hAnsi="Calibri" w:cs="Calibri"/>
                              <w:noProof/>
                              <w:color w:val="000000"/>
                              <w:sz w:val="20"/>
                              <w:szCs w:val="20"/>
                            </w:rPr>
                            <w:t>Colonnade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803F3" id="_x0000_t202" coordsize="21600,21600" o:spt="202" path="m,l,21600r21600,l21600,xe">
              <v:stroke joinstyle="miter"/>
              <v:path gradientshapeok="t" o:connecttype="rect"/>
            </v:shapetype>
            <v:shape id="Pole tekstowe 1" o:spid="_x0000_s1028" type="#_x0000_t202" alt="Colonnade Confidential" style="position:absolute;margin-left:0;margin-top:0;width:93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" filled="f" stroked="f">
              <v:textbox style="mso-fit-shape-to-text:t" inset="0,0,0,15pt">
                <w:txbxContent>
                  <w:p w14:paraId="62373A06" w14:textId="7BB9DB9B" w:rsidR="008C04ED" w:rsidRPr="008C04ED" w:rsidRDefault="008C04ED" w:rsidP="008C04ED">
                    <w:pPr>
                      <w:spacing w:after="0"/>
                      <w:rPr>
                        <w:rFonts w:ascii="Calibri" w:eastAsia="Calibri" w:hAnsi="Calibri" w:cs="Calibri"/>
                        <w:noProof/>
                        <w:color w:val="000000"/>
                        <w:sz w:val="20"/>
                        <w:szCs w:val="20"/>
                      </w:rPr>
                    </w:pPr>
                    <w:r w:rsidRPr="008C04ED">
                      <w:rPr>
                        <w:rFonts w:ascii="Calibri" w:eastAsia="Calibri" w:hAnsi="Calibri" w:cs="Calibri"/>
                        <w:noProof/>
                        <w:color w:val="000000"/>
                        <w:sz w:val="20"/>
                        <w:szCs w:val="20"/>
                      </w:rPr>
                      <w:t>Colonnade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0AB28" w14:textId="77777777" w:rsidR="00D77FFD" w:rsidRDefault="00D77FFD" w:rsidP="008C04ED">
      <w:pPr>
        <w:spacing w:after="0" w:line="240" w:lineRule="auto"/>
      </w:pPr>
      <w:r>
        <w:separator/>
      </w:r>
    </w:p>
  </w:footnote>
  <w:footnote w:type="continuationSeparator" w:id="0">
    <w:p w14:paraId="6178870B" w14:textId="77777777" w:rsidR="00D77FFD" w:rsidRDefault="00D77FFD" w:rsidP="008C04ED">
      <w:pPr>
        <w:spacing w:after="0" w:line="240" w:lineRule="auto"/>
      </w:pPr>
      <w:r>
        <w:continuationSeparator/>
      </w:r>
    </w:p>
  </w:footnote>
  <w:footnote w:type="continuationNotice" w:id="1">
    <w:p w14:paraId="53921A29" w14:textId="77777777" w:rsidR="00D77FFD" w:rsidRDefault="00D77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A6FB" w14:textId="6FC1FBC3" w:rsidR="00270855" w:rsidRDefault="00270855" w:rsidP="00270855">
    <w:pPr>
      <w:pStyle w:val="Header"/>
      <w:jc w:val="right"/>
    </w:pPr>
    <w:r w:rsidRPr="002E2B6C">
      <w:rPr>
        <w:noProof/>
        <w:lang w:eastAsia="pl-PL"/>
      </w:rPr>
      <w:drawing>
        <wp:inline distT="0" distB="0" distL="0" distR="0" wp14:anchorId="7FE459BA" wp14:editId="3AF133EA">
          <wp:extent cx="1572491" cy="884548"/>
          <wp:effectExtent l="0" t="0" r="0" b="0"/>
          <wp:docPr id="1" name="Obraz 1" descr="Obraz zawierający Grafika, zrzut ekranu, projekt graficzny, Czcion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Grafika, zrzut ekranu, projekt graficzny, Czcionka&#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273" cy="88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605AF"/>
    <w:multiLevelType w:val="multilevel"/>
    <w:tmpl w:val="557E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0285F"/>
    <w:multiLevelType w:val="multilevel"/>
    <w:tmpl w:val="E64A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B2A32"/>
    <w:multiLevelType w:val="multilevel"/>
    <w:tmpl w:val="06B2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744101">
    <w:abstractNumId w:val="1"/>
  </w:num>
  <w:num w:numId="2" w16cid:durableId="1846552918">
    <w:abstractNumId w:val="0"/>
  </w:num>
  <w:num w:numId="3" w16cid:durableId="103331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FB"/>
    <w:rsid w:val="00025267"/>
    <w:rsid w:val="0008214A"/>
    <w:rsid w:val="000B5772"/>
    <w:rsid w:val="000E100D"/>
    <w:rsid w:val="000F64B8"/>
    <w:rsid w:val="00102E53"/>
    <w:rsid w:val="001073CF"/>
    <w:rsid w:val="001162F1"/>
    <w:rsid w:val="001228B4"/>
    <w:rsid w:val="00177A4E"/>
    <w:rsid w:val="001806A4"/>
    <w:rsid w:val="00180C68"/>
    <w:rsid w:val="001A0EB1"/>
    <w:rsid w:val="001C3C3B"/>
    <w:rsid w:val="001E55B7"/>
    <w:rsid w:val="001F2A3A"/>
    <w:rsid w:val="002036CA"/>
    <w:rsid w:val="002267A4"/>
    <w:rsid w:val="00227A3F"/>
    <w:rsid w:val="00257F37"/>
    <w:rsid w:val="00270855"/>
    <w:rsid w:val="002712ED"/>
    <w:rsid w:val="0027298F"/>
    <w:rsid w:val="00293E4D"/>
    <w:rsid w:val="002C6AE6"/>
    <w:rsid w:val="002F1C71"/>
    <w:rsid w:val="002F48DD"/>
    <w:rsid w:val="002F52F6"/>
    <w:rsid w:val="00314A73"/>
    <w:rsid w:val="00341CC8"/>
    <w:rsid w:val="00346F5A"/>
    <w:rsid w:val="00351D3B"/>
    <w:rsid w:val="003607EE"/>
    <w:rsid w:val="0038311E"/>
    <w:rsid w:val="00386C50"/>
    <w:rsid w:val="0039464D"/>
    <w:rsid w:val="003A3585"/>
    <w:rsid w:val="003D192A"/>
    <w:rsid w:val="003D273F"/>
    <w:rsid w:val="003E0EFB"/>
    <w:rsid w:val="003F6196"/>
    <w:rsid w:val="004029E6"/>
    <w:rsid w:val="00407DE0"/>
    <w:rsid w:val="004115FD"/>
    <w:rsid w:val="00423E24"/>
    <w:rsid w:val="00431973"/>
    <w:rsid w:val="004401E7"/>
    <w:rsid w:val="00453BA0"/>
    <w:rsid w:val="00482493"/>
    <w:rsid w:val="004E6F9C"/>
    <w:rsid w:val="00547A63"/>
    <w:rsid w:val="005514B1"/>
    <w:rsid w:val="0058149F"/>
    <w:rsid w:val="00592309"/>
    <w:rsid w:val="005C44EC"/>
    <w:rsid w:val="005F13D0"/>
    <w:rsid w:val="005F1609"/>
    <w:rsid w:val="006624EC"/>
    <w:rsid w:val="006812C6"/>
    <w:rsid w:val="006C3555"/>
    <w:rsid w:val="006C3F21"/>
    <w:rsid w:val="006E6CD8"/>
    <w:rsid w:val="006E7A2A"/>
    <w:rsid w:val="007569DA"/>
    <w:rsid w:val="00770605"/>
    <w:rsid w:val="007767F8"/>
    <w:rsid w:val="007C35DF"/>
    <w:rsid w:val="007D35A4"/>
    <w:rsid w:val="007D5CFD"/>
    <w:rsid w:val="008124CC"/>
    <w:rsid w:val="00831803"/>
    <w:rsid w:val="00853CEF"/>
    <w:rsid w:val="008C04ED"/>
    <w:rsid w:val="008C07E0"/>
    <w:rsid w:val="008D0B18"/>
    <w:rsid w:val="008D4E47"/>
    <w:rsid w:val="008D74D2"/>
    <w:rsid w:val="008E1A58"/>
    <w:rsid w:val="0092659D"/>
    <w:rsid w:val="009375EF"/>
    <w:rsid w:val="00952CD8"/>
    <w:rsid w:val="009B6225"/>
    <w:rsid w:val="009F5982"/>
    <w:rsid w:val="00A05FAD"/>
    <w:rsid w:val="00A31D55"/>
    <w:rsid w:val="00A320D9"/>
    <w:rsid w:val="00A45FAA"/>
    <w:rsid w:val="00A55BE1"/>
    <w:rsid w:val="00A55FFF"/>
    <w:rsid w:val="00A97268"/>
    <w:rsid w:val="00AB52E0"/>
    <w:rsid w:val="00AD2425"/>
    <w:rsid w:val="00AE620E"/>
    <w:rsid w:val="00B27485"/>
    <w:rsid w:val="00B37478"/>
    <w:rsid w:val="00B4721A"/>
    <w:rsid w:val="00B50484"/>
    <w:rsid w:val="00B67032"/>
    <w:rsid w:val="00B965B4"/>
    <w:rsid w:val="00BB1B05"/>
    <w:rsid w:val="00C23E7A"/>
    <w:rsid w:val="00C259AF"/>
    <w:rsid w:val="00C4001B"/>
    <w:rsid w:val="00C508F6"/>
    <w:rsid w:val="00C52B2B"/>
    <w:rsid w:val="00C52F0D"/>
    <w:rsid w:val="00C833DF"/>
    <w:rsid w:val="00CB031F"/>
    <w:rsid w:val="00CC0549"/>
    <w:rsid w:val="00CC736B"/>
    <w:rsid w:val="00D021DA"/>
    <w:rsid w:val="00D2319B"/>
    <w:rsid w:val="00D37B3A"/>
    <w:rsid w:val="00D66217"/>
    <w:rsid w:val="00D77FFD"/>
    <w:rsid w:val="00D97FC3"/>
    <w:rsid w:val="00DA062E"/>
    <w:rsid w:val="00DC16E9"/>
    <w:rsid w:val="00E033F8"/>
    <w:rsid w:val="00E23F39"/>
    <w:rsid w:val="00E35756"/>
    <w:rsid w:val="00E61845"/>
    <w:rsid w:val="00E71E0E"/>
    <w:rsid w:val="00E921DE"/>
    <w:rsid w:val="00EA186C"/>
    <w:rsid w:val="00EB4C1D"/>
    <w:rsid w:val="00EE6C3E"/>
    <w:rsid w:val="00F008A3"/>
    <w:rsid w:val="00F04E4B"/>
    <w:rsid w:val="00F079AB"/>
    <w:rsid w:val="00F14CD0"/>
    <w:rsid w:val="00F15217"/>
    <w:rsid w:val="00F561A8"/>
    <w:rsid w:val="00F62999"/>
    <w:rsid w:val="00F8072F"/>
    <w:rsid w:val="00FB2A6D"/>
    <w:rsid w:val="00FB3698"/>
    <w:rsid w:val="00FE3FC4"/>
    <w:rsid w:val="00FF20EE"/>
    <w:rsid w:val="011E75B0"/>
    <w:rsid w:val="025BE1BC"/>
    <w:rsid w:val="04F776BF"/>
    <w:rsid w:val="05A5B924"/>
    <w:rsid w:val="0696D29E"/>
    <w:rsid w:val="07306369"/>
    <w:rsid w:val="079509E2"/>
    <w:rsid w:val="0804D78D"/>
    <w:rsid w:val="08D024D0"/>
    <w:rsid w:val="08F22CEC"/>
    <w:rsid w:val="0929E1DB"/>
    <w:rsid w:val="0C46177C"/>
    <w:rsid w:val="0C631F72"/>
    <w:rsid w:val="0CF8CA0B"/>
    <w:rsid w:val="0DE004C5"/>
    <w:rsid w:val="0E6ED6DF"/>
    <w:rsid w:val="0FC72E40"/>
    <w:rsid w:val="11849D38"/>
    <w:rsid w:val="1403E24B"/>
    <w:rsid w:val="150F13C1"/>
    <w:rsid w:val="15372417"/>
    <w:rsid w:val="16321ED1"/>
    <w:rsid w:val="18A25989"/>
    <w:rsid w:val="195FBD6E"/>
    <w:rsid w:val="19E822DF"/>
    <w:rsid w:val="1A89477D"/>
    <w:rsid w:val="1C2B88FC"/>
    <w:rsid w:val="1C4B1F10"/>
    <w:rsid w:val="1D05B99F"/>
    <w:rsid w:val="2052A291"/>
    <w:rsid w:val="207DAFAA"/>
    <w:rsid w:val="213B3AC2"/>
    <w:rsid w:val="220E0684"/>
    <w:rsid w:val="23DE897F"/>
    <w:rsid w:val="24FCCAF7"/>
    <w:rsid w:val="25B04B94"/>
    <w:rsid w:val="262269DA"/>
    <w:rsid w:val="273F0C8D"/>
    <w:rsid w:val="2753599C"/>
    <w:rsid w:val="27542D92"/>
    <w:rsid w:val="276EB6EB"/>
    <w:rsid w:val="27E05FCB"/>
    <w:rsid w:val="28C97E24"/>
    <w:rsid w:val="28F3429D"/>
    <w:rsid w:val="29A3A4F3"/>
    <w:rsid w:val="2BA7FAEA"/>
    <w:rsid w:val="2BEF463C"/>
    <w:rsid w:val="2C5FBD24"/>
    <w:rsid w:val="2CC807C7"/>
    <w:rsid w:val="2CF39A4C"/>
    <w:rsid w:val="2E19CC1E"/>
    <w:rsid w:val="303015A4"/>
    <w:rsid w:val="303C3D30"/>
    <w:rsid w:val="3114F6B9"/>
    <w:rsid w:val="32397894"/>
    <w:rsid w:val="3409BDE3"/>
    <w:rsid w:val="344DE43C"/>
    <w:rsid w:val="384B1D2F"/>
    <w:rsid w:val="396240E2"/>
    <w:rsid w:val="39A7631D"/>
    <w:rsid w:val="3D756271"/>
    <w:rsid w:val="4074DF25"/>
    <w:rsid w:val="414B5830"/>
    <w:rsid w:val="4227D3E0"/>
    <w:rsid w:val="42DBFF07"/>
    <w:rsid w:val="4354DE6A"/>
    <w:rsid w:val="44B7BDB3"/>
    <w:rsid w:val="44CC796A"/>
    <w:rsid w:val="46D62271"/>
    <w:rsid w:val="46F49F4A"/>
    <w:rsid w:val="476C4CCE"/>
    <w:rsid w:val="4A58C794"/>
    <w:rsid w:val="4AE73AF5"/>
    <w:rsid w:val="4BE0BA4B"/>
    <w:rsid w:val="4DD4412A"/>
    <w:rsid w:val="4E178BBF"/>
    <w:rsid w:val="4F846537"/>
    <w:rsid w:val="50EAAAE8"/>
    <w:rsid w:val="51214D3D"/>
    <w:rsid w:val="5194A4AE"/>
    <w:rsid w:val="55E4EF5D"/>
    <w:rsid w:val="58CDAEE5"/>
    <w:rsid w:val="5B9DF504"/>
    <w:rsid w:val="5C3316E6"/>
    <w:rsid w:val="5D1CA9E3"/>
    <w:rsid w:val="60338936"/>
    <w:rsid w:val="611FE7CE"/>
    <w:rsid w:val="61CC76B7"/>
    <w:rsid w:val="62462607"/>
    <w:rsid w:val="64D0B5AE"/>
    <w:rsid w:val="678DDCE3"/>
    <w:rsid w:val="67F990EE"/>
    <w:rsid w:val="6925D228"/>
    <w:rsid w:val="69704A2E"/>
    <w:rsid w:val="6A3BE583"/>
    <w:rsid w:val="6AE6022E"/>
    <w:rsid w:val="6B1F3D99"/>
    <w:rsid w:val="6BFE0742"/>
    <w:rsid w:val="6C9037D6"/>
    <w:rsid w:val="6C905A5B"/>
    <w:rsid w:val="6F2C7BAE"/>
    <w:rsid w:val="7240C2AB"/>
    <w:rsid w:val="72E1368B"/>
    <w:rsid w:val="7329813D"/>
    <w:rsid w:val="739CFF4A"/>
    <w:rsid w:val="74223074"/>
    <w:rsid w:val="74D3BE24"/>
    <w:rsid w:val="76F26455"/>
    <w:rsid w:val="77BC8F7D"/>
    <w:rsid w:val="7805ECFF"/>
    <w:rsid w:val="78267C91"/>
    <w:rsid w:val="788BE588"/>
    <w:rsid w:val="78F4EF95"/>
    <w:rsid w:val="79125115"/>
    <w:rsid w:val="79D0158A"/>
    <w:rsid w:val="7E74860A"/>
    <w:rsid w:val="7EA10F63"/>
    <w:rsid w:val="7EAD944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3CB15"/>
  <w15:docId w15:val="{1F494FB3-AA13-4128-958E-F36EF39D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EFB"/>
    <w:rPr>
      <w:rFonts w:eastAsiaTheme="majorEastAsia" w:cstheme="majorBidi"/>
      <w:color w:val="272727" w:themeColor="text1" w:themeTint="D8"/>
    </w:rPr>
  </w:style>
  <w:style w:type="paragraph" w:styleId="Title">
    <w:name w:val="Title"/>
    <w:basedOn w:val="Normal"/>
    <w:next w:val="Normal"/>
    <w:link w:val="TitleChar"/>
    <w:uiPriority w:val="10"/>
    <w:qFormat/>
    <w:rsid w:val="003E0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EFB"/>
    <w:pPr>
      <w:spacing w:before="160"/>
      <w:jc w:val="center"/>
    </w:pPr>
    <w:rPr>
      <w:i/>
      <w:iCs/>
      <w:color w:val="404040" w:themeColor="text1" w:themeTint="BF"/>
    </w:rPr>
  </w:style>
  <w:style w:type="character" w:customStyle="1" w:styleId="QuoteChar">
    <w:name w:val="Quote Char"/>
    <w:basedOn w:val="DefaultParagraphFont"/>
    <w:link w:val="Quote"/>
    <w:uiPriority w:val="29"/>
    <w:rsid w:val="003E0EFB"/>
    <w:rPr>
      <w:i/>
      <w:iCs/>
      <w:color w:val="404040" w:themeColor="text1" w:themeTint="BF"/>
    </w:rPr>
  </w:style>
  <w:style w:type="paragraph" w:styleId="ListParagraph">
    <w:name w:val="List Paragraph"/>
    <w:basedOn w:val="Normal"/>
    <w:uiPriority w:val="34"/>
    <w:qFormat/>
    <w:rsid w:val="003E0EFB"/>
    <w:pPr>
      <w:ind w:left="720"/>
      <w:contextualSpacing/>
    </w:pPr>
  </w:style>
  <w:style w:type="character" w:styleId="IntenseEmphasis">
    <w:name w:val="Intense Emphasis"/>
    <w:basedOn w:val="DefaultParagraphFont"/>
    <w:uiPriority w:val="21"/>
    <w:qFormat/>
    <w:rsid w:val="003E0EFB"/>
    <w:rPr>
      <w:i/>
      <w:iCs/>
      <w:color w:val="0F4761" w:themeColor="accent1" w:themeShade="BF"/>
    </w:rPr>
  </w:style>
  <w:style w:type="paragraph" w:styleId="IntenseQuote">
    <w:name w:val="Intense Quote"/>
    <w:basedOn w:val="Normal"/>
    <w:next w:val="Normal"/>
    <w:link w:val="IntenseQuoteChar"/>
    <w:uiPriority w:val="30"/>
    <w:qFormat/>
    <w:rsid w:val="003E0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EFB"/>
    <w:rPr>
      <w:i/>
      <w:iCs/>
      <w:color w:val="0F4761" w:themeColor="accent1" w:themeShade="BF"/>
    </w:rPr>
  </w:style>
  <w:style w:type="character" w:styleId="IntenseReference">
    <w:name w:val="Intense Reference"/>
    <w:basedOn w:val="DefaultParagraphFont"/>
    <w:uiPriority w:val="32"/>
    <w:qFormat/>
    <w:rsid w:val="003E0EFB"/>
    <w:rPr>
      <w:b/>
      <w:bCs/>
      <w:smallCaps/>
      <w:color w:val="0F4761" w:themeColor="accent1" w:themeShade="BF"/>
      <w:spacing w:val="5"/>
    </w:rPr>
  </w:style>
  <w:style w:type="character" w:styleId="Hyperlink">
    <w:name w:val="Hyperlink"/>
    <w:basedOn w:val="DefaultParagraphFont"/>
    <w:uiPriority w:val="99"/>
    <w:unhideWhenUsed/>
    <w:rsid w:val="003E0EFB"/>
    <w:rPr>
      <w:color w:val="467886" w:themeColor="hyperlink"/>
      <w:u w:val="single"/>
    </w:rPr>
  </w:style>
  <w:style w:type="character" w:customStyle="1" w:styleId="Nierozpoznanawzmianka1">
    <w:name w:val="Nierozpoznana wzmianka1"/>
    <w:basedOn w:val="DefaultParagraphFont"/>
    <w:uiPriority w:val="99"/>
    <w:semiHidden/>
    <w:unhideWhenUsed/>
    <w:rsid w:val="003E0EFB"/>
    <w:rPr>
      <w:color w:val="605E5C"/>
      <w:shd w:val="clear" w:color="auto" w:fill="E1DFDD"/>
    </w:rPr>
  </w:style>
  <w:style w:type="paragraph" w:styleId="Footer">
    <w:name w:val="footer"/>
    <w:basedOn w:val="Normal"/>
    <w:link w:val="FooterChar"/>
    <w:uiPriority w:val="99"/>
    <w:unhideWhenUsed/>
    <w:rsid w:val="008C0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ED"/>
  </w:style>
  <w:style w:type="paragraph" w:styleId="Header">
    <w:name w:val="header"/>
    <w:basedOn w:val="Normal"/>
    <w:link w:val="HeaderChar"/>
    <w:uiPriority w:val="99"/>
    <w:unhideWhenUsed/>
    <w:rsid w:val="00BB1B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1B0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4E4B"/>
    <w:pPr>
      <w:spacing w:after="0" w:line="240" w:lineRule="auto"/>
    </w:pPr>
  </w:style>
  <w:style w:type="paragraph" w:styleId="BalloonText">
    <w:name w:val="Balloon Text"/>
    <w:basedOn w:val="Normal"/>
    <w:link w:val="BalloonTextChar"/>
    <w:uiPriority w:val="99"/>
    <w:semiHidden/>
    <w:unhideWhenUsed/>
    <w:rsid w:val="00831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8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31803"/>
    <w:rPr>
      <w:b/>
      <w:bCs/>
    </w:rPr>
  </w:style>
  <w:style w:type="character" w:customStyle="1" w:styleId="CommentSubjectChar">
    <w:name w:val="Comment Subject Char"/>
    <w:basedOn w:val="CommentTextChar"/>
    <w:link w:val="CommentSubject"/>
    <w:uiPriority w:val="99"/>
    <w:semiHidden/>
    <w:rsid w:val="008318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953644">
      <w:bodyDiv w:val="1"/>
      <w:marLeft w:val="0"/>
      <w:marRight w:val="0"/>
      <w:marTop w:val="0"/>
      <w:marBottom w:val="0"/>
      <w:divBdr>
        <w:top w:val="none" w:sz="0" w:space="0" w:color="auto"/>
        <w:left w:val="none" w:sz="0" w:space="0" w:color="auto"/>
        <w:bottom w:val="none" w:sz="0" w:space="0" w:color="auto"/>
        <w:right w:val="none" w:sz="0" w:space="0" w:color="auto"/>
      </w:divBdr>
    </w:div>
    <w:div w:id="490633920">
      <w:bodyDiv w:val="1"/>
      <w:marLeft w:val="0"/>
      <w:marRight w:val="0"/>
      <w:marTop w:val="0"/>
      <w:marBottom w:val="0"/>
      <w:divBdr>
        <w:top w:val="none" w:sz="0" w:space="0" w:color="auto"/>
        <w:left w:val="none" w:sz="0" w:space="0" w:color="auto"/>
        <w:bottom w:val="none" w:sz="0" w:space="0" w:color="auto"/>
        <w:right w:val="none" w:sz="0" w:space="0" w:color="auto"/>
      </w:divBdr>
      <w:divsChild>
        <w:div w:id="721754825">
          <w:marLeft w:val="0"/>
          <w:marRight w:val="0"/>
          <w:marTop w:val="0"/>
          <w:marBottom w:val="0"/>
          <w:divBdr>
            <w:top w:val="none" w:sz="0" w:space="0" w:color="auto"/>
            <w:left w:val="none" w:sz="0" w:space="0" w:color="auto"/>
            <w:bottom w:val="none" w:sz="0" w:space="0" w:color="auto"/>
            <w:right w:val="none" w:sz="0" w:space="0" w:color="auto"/>
          </w:divBdr>
          <w:divsChild>
            <w:div w:id="17795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1624">
      <w:bodyDiv w:val="1"/>
      <w:marLeft w:val="0"/>
      <w:marRight w:val="0"/>
      <w:marTop w:val="0"/>
      <w:marBottom w:val="0"/>
      <w:divBdr>
        <w:top w:val="none" w:sz="0" w:space="0" w:color="auto"/>
        <w:left w:val="none" w:sz="0" w:space="0" w:color="auto"/>
        <w:bottom w:val="none" w:sz="0" w:space="0" w:color="auto"/>
        <w:right w:val="none" w:sz="0" w:space="0" w:color="auto"/>
      </w:divBdr>
    </w:div>
    <w:div w:id="1740324024">
      <w:bodyDiv w:val="1"/>
      <w:marLeft w:val="0"/>
      <w:marRight w:val="0"/>
      <w:marTop w:val="0"/>
      <w:marBottom w:val="0"/>
      <w:divBdr>
        <w:top w:val="none" w:sz="0" w:space="0" w:color="auto"/>
        <w:left w:val="none" w:sz="0" w:space="0" w:color="auto"/>
        <w:bottom w:val="none" w:sz="0" w:space="0" w:color="auto"/>
        <w:right w:val="none" w:sz="0" w:space="0" w:color="auto"/>
      </w:divBdr>
      <w:divsChild>
        <w:div w:id="1034234812">
          <w:marLeft w:val="0"/>
          <w:marRight w:val="0"/>
          <w:marTop w:val="0"/>
          <w:marBottom w:val="0"/>
          <w:divBdr>
            <w:top w:val="none" w:sz="0" w:space="0" w:color="auto"/>
            <w:left w:val="none" w:sz="0" w:space="0" w:color="auto"/>
            <w:bottom w:val="none" w:sz="0" w:space="0" w:color="auto"/>
            <w:right w:val="none" w:sz="0" w:space="0" w:color="auto"/>
          </w:divBdr>
          <w:divsChild>
            <w:div w:id="352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ambest.com/presscontent.aspx?refnum=32795&amp;altsrc=2"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neta.filipczak@corepr.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5A8E1E5A17A4AA498CA33260400BF" ma:contentTypeVersion="13" ma:contentTypeDescription="Create a new document." ma:contentTypeScope="" ma:versionID="1623b9e6f347bb1cc4a18e65c5aed3a9">
  <xsd:schema xmlns:xsd="http://www.w3.org/2001/XMLSchema" xmlns:xs="http://www.w3.org/2001/XMLSchema" xmlns:p="http://schemas.microsoft.com/office/2006/metadata/properties" xmlns:ns2="9ea64175-bebd-42b1-a0e7-a0e20772ec20" xmlns:ns3="812081b1-9e02-4482-b02e-4c9363ed24f6" targetNamespace="http://schemas.microsoft.com/office/2006/metadata/properties" ma:root="true" ma:fieldsID="ba2bcfa450f05057abfd237f89b4c16d" ns2:_="" ns3:_="">
    <xsd:import namespace="9ea64175-bebd-42b1-a0e7-a0e20772ec20"/>
    <xsd:import namespace="812081b1-9e02-4482-b02e-4c9363ed24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64175-bebd-42b1-a0e7-a0e20772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78c5277-8e4d-44a8-8372-42b7fd2548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81b1-9e02-4482-b02e-4c9363ed24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51614a-21e8-4c89-ad0f-2ec2ccb6cbd1}" ma:internalName="TaxCatchAll" ma:showField="CatchAllData" ma:web="812081b1-9e02-4482-b02e-4c9363ed2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2081b1-9e02-4482-b02e-4c9363ed24f6" xsi:nil="true"/>
    <lcf76f155ced4ddcb4097134ff3c332f xmlns="9ea64175-bebd-42b1-a0e7-a0e20772ec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B7E03-965C-4EF8-AE80-0DCCDB135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64175-bebd-42b1-a0e7-a0e20772ec20"/>
    <ds:schemaRef ds:uri="812081b1-9e02-4482-b02e-4c9363ed2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93E1F-BA95-40D1-B10F-A1C89340C034}">
  <ds:schemaRefs>
    <ds:schemaRef ds:uri="http://schemas.microsoft.com/office/2006/metadata/properties"/>
    <ds:schemaRef ds:uri="http://schemas.microsoft.com/office/infopath/2007/PartnerControls"/>
    <ds:schemaRef ds:uri="812081b1-9e02-4482-b02e-4c9363ed24f6"/>
    <ds:schemaRef ds:uri="9ea64175-bebd-42b1-a0e7-a0e20772ec20"/>
  </ds:schemaRefs>
</ds:datastoreItem>
</file>

<file path=customXml/itemProps3.xml><?xml version="1.0" encoding="utf-8"?>
<ds:datastoreItem xmlns:ds="http://schemas.openxmlformats.org/officeDocument/2006/customXml" ds:itemID="{39A27E06-23E1-4EF6-9345-0998C2B46958}">
  <ds:schemaRefs>
    <ds:schemaRef ds:uri="http://schemas.microsoft.com/sharepoint/v3/contenttype/forms"/>
  </ds:schemaRefs>
</ds:datastoreItem>
</file>

<file path=docMetadata/LabelInfo.xml><?xml version="1.0" encoding="utf-8"?>
<clbl:labelList xmlns:clbl="http://schemas.microsoft.com/office/2020/mipLabelMetadata">
  <clbl:label id="{07ac8769-907a-4099-b619-c43b864b20fc}" enabled="1" method="Standard" siteId="{6845888f-093c-46fc-8e1c-f222efeced5f}" removed="0"/>
</clbl:labelList>
</file>

<file path=docProps/app.xml><?xml version="1.0" encoding="utf-8"?>
<Properties xmlns="http://schemas.openxmlformats.org/officeDocument/2006/extended-properties" xmlns:vt="http://schemas.openxmlformats.org/officeDocument/2006/docPropsVTypes">
  <Template>Normal</Template>
  <TotalTime>212</TotalTime>
  <Pages>1</Pages>
  <Words>710</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Nikliborc</dc:creator>
  <cp:keywords/>
  <dc:description/>
  <cp:lastModifiedBy>Marta Makarska</cp:lastModifiedBy>
  <cp:revision>4</cp:revision>
  <dcterms:created xsi:type="dcterms:W3CDTF">2025-09-01T19:33:00Z</dcterms:created>
  <dcterms:modified xsi:type="dcterms:W3CDTF">2025-09-01T19:34:00Z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0x010100AC05A8E1E5A17A4AA498CA33260400BF</vt:lpwstr>
  </property>
  <property fmtid="{D5CDD505-2E9C-101B-9397-08002B2CF9AE}" pid="3" name="ClassificationContentMarkingFooterShapeIds">
    <vt:lpwstr>7bc9422a,730f38c2,c29f354</vt:lpwstr>
  </property>
  <property fmtid="{D5CDD505-2E9C-101B-9397-08002B2CF9AE}" pid="4" name="ClassificationContentMarkingFooterFontProps">
    <vt:lpwstr>#000000,10,Calibri</vt:lpwstr>
  </property>
  <property fmtid="{D5CDD505-2E9C-101B-9397-08002B2CF9AE}" pid="5" name="ClassificationContentMarkingFooterText">
    <vt:lpwstr>Colonnade Confidential</vt:lpwstr>
  </property>
  <property fmtid="{D5CDD505-2E9C-101B-9397-08002B2CF9AE}" pid="6" name="MediaServiceImageTags">
    <vt:lpwstr/>
  </property>
</Properties>
</file>